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D90" w:rsidRPr="006925D8" w:rsidRDefault="00571853">
      <w:pPr>
        <w:pStyle w:val="a3"/>
        <w:kinsoku w:val="0"/>
        <w:overflowPunct w:val="0"/>
        <w:spacing w:before="0" w:line="356" w:lineRule="exact"/>
        <w:ind w:left="119"/>
        <w:rPr>
          <w:rFonts w:ascii="Times New Roman" w:cs="Times New Roman"/>
          <w:b/>
          <w:bCs/>
          <w:spacing w:val="-1"/>
          <w:sz w:val="28"/>
          <w:szCs w:val="28"/>
        </w:rPr>
      </w:pPr>
      <w:r w:rsidRPr="006925D8">
        <w:rPr>
          <w:rFonts w:ascii="Times New Roman" w:cs="Times New Roman"/>
          <w:b/>
          <w:bCs/>
          <w:sz w:val="28"/>
          <w:szCs w:val="28"/>
        </w:rPr>
        <w:t>國立中興大學研發成果管理及運用之利益衝突與迴避原則</w:t>
      </w:r>
    </w:p>
    <w:p w:rsidR="00571853" w:rsidRPr="006925D8" w:rsidRDefault="00AD0D90">
      <w:pPr>
        <w:pStyle w:val="a3"/>
        <w:kinsoku w:val="0"/>
        <w:overflowPunct w:val="0"/>
        <w:spacing w:before="0" w:line="356" w:lineRule="exact"/>
        <w:ind w:left="119"/>
        <w:rPr>
          <w:rFonts w:ascii="Times New Roman" w:cs="Times New Roman"/>
          <w:sz w:val="28"/>
          <w:szCs w:val="28"/>
        </w:rPr>
      </w:pPr>
      <w:r w:rsidRPr="006925D8">
        <w:rPr>
          <w:rFonts w:ascii="Times New Roman" w:cs="Times New Roman"/>
          <w:b/>
          <w:bCs/>
          <w:sz w:val="28"/>
          <w:szCs w:val="28"/>
        </w:rPr>
        <w:t xml:space="preserve">National Chung </w:t>
      </w:r>
      <w:proofErr w:type="spellStart"/>
      <w:r w:rsidRPr="006925D8">
        <w:rPr>
          <w:rFonts w:ascii="Times New Roman" w:cs="Times New Roman"/>
          <w:b/>
          <w:bCs/>
          <w:sz w:val="28"/>
          <w:szCs w:val="28"/>
        </w:rPr>
        <w:t>Hsing</w:t>
      </w:r>
      <w:proofErr w:type="spellEnd"/>
      <w:r w:rsidRPr="006925D8">
        <w:rPr>
          <w:rFonts w:ascii="Times New Roman" w:cs="Times New Roman"/>
          <w:b/>
          <w:bCs/>
          <w:sz w:val="28"/>
          <w:szCs w:val="28"/>
        </w:rPr>
        <w:t xml:space="preserve"> University Conflicts of Interest and Recusal Principles in the Management and Utilization of Research and Development Outcomes</w:t>
      </w:r>
    </w:p>
    <w:p w:rsidR="00AD0D90" w:rsidRPr="006925D8" w:rsidRDefault="00571853" w:rsidP="006925D8">
      <w:pPr>
        <w:pStyle w:val="a3"/>
        <w:kinsoku w:val="0"/>
        <w:overflowPunct w:val="0"/>
        <w:spacing w:before="0" w:line="260" w:lineRule="exact"/>
        <w:ind w:left="0"/>
        <w:jc w:val="right"/>
        <w:rPr>
          <w:rFonts w:ascii="Times New Roman" w:cs="Times New Roman"/>
          <w:sz w:val="20"/>
          <w:szCs w:val="20"/>
        </w:rPr>
      </w:pPr>
      <w:r w:rsidRPr="006925D8">
        <w:rPr>
          <w:rFonts w:ascii="Times New Roman" w:cs="Times New Roman"/>
          <w:sz w:val="20"/>
          <w:szCs w:val="20"/>
        </w:rPr>
        <w:t>101</w:t>
      </w:r>
      <w:r w:rsidRPr="006925D8">
        <w:rPr>
          <w:rFonts w:ascii="Times New Roman" w:cs="Times New Roman"/>
          <w:sz w:val="20"/>
          <w:szCs w:val="20"/>
        </w:rPr>
        <w:t>年</w:t>
      </w:r>
      <w:r w:rsidRPr="006925D8">
        <w:rPr>
          <w:rFonts w:ascii="Times New Roman" w:cs="Times New Roman"/>
          <w:sz w:val="20"/>
          <w:szCs w:val="20"/>
        </w:rPr>
        <w:t>12</w:t>
      </w:r>
      <w:r w:rsidRPr="006925D8">
        <w:rPr>
          <w:rFonts w:ascii="Times New Roman" w:cs="Times New Roman"/>
          <w:sz w:val="20"/>
          <w:szCs w:val="20"/>
        </w:rPr>
        <w:t>月</w:t>
      </w:r>
      <w:r w:rsidRPr="006925D8">
        <w:rPr>
          <w:rFonts w:ascii="Times New Roman" w:cs="Times New Roman"/>
          <w:sz w:val="20"/>
          <w:szCs w:val="20"/>
        </w:rPr>
        <w:t>28</w:t>
      </w:r>
      <w:r w:rsidRPr="006925D8">
        <w:rPr>
          <w:rFonts w:ascii="Times New Roman" w:cs="Times New Roman"/>
          <w:sz w:val="20"/>
          <w:szCs w:val="20"/>
        </w:rPr>
        <w:t>日第</w:t>
      </w:r>
      <w:r w:rsidRPr="006925D8">
        <w:rPr>
          <w:rFonts w:ascii="Times New Roman" w:cs="Times New Roman"/>
          <w:sz w:val="20"/>
          <w:szCs w:val="20"/>
        </w:rPr>
        <w:t>64</w:t>
      </w:r>
      <w:r w:rsidRPr="006925D8">
        <w:rPr>
          <w:rFonts w:ascii="Times New Roman" w:cs="Times New Roman"/>
          <w:sz w:val="20"/>
          <w:szCs w:val="20"/>
        </w:rPr>
        <w:t>次校務會議延續會通過</w:t>
      </w:r>
    </w:p>
    <w:p w:rsidR="00571853" w:rsidRPr="006925D8" w:rsidRDefault="00440397" w:rsidP="006925D8">
      <w:pPr>
        <w:pStyle w:val="a3"/>
        <w:kinsoku w:val="0"/>
        <w:overflowPunct w:val="0"/>
        <w:spacing w:before="0" w:line="260" w:lineRule="exact"/>
        <w:ind w:left="0"/>
        <w:jc w:val="right"/>
        <w:rPr>
          <w:rFonts w:ascii="Times New Roman" w:cs="Times New Roman"/>
          <w:sz w:val="20"/>
          <w:szCs w:val="20"/>
        </w:rPr>
      </w:pPr>
      <w:r w:rsidRPr="00440397">
        <w:rPr>
          <w:rFonts w:ascii="Times New Roman" w:cs="Times New Roman"/>
          <w:sz w:val="20"/>
          <w:szCs w:val="20"/>
        </w:rPr>
        <w:t>December 28, 2012 Passed by the 64th Extended University Council Meeting</w:t>
      </w:r>
    </w:p>
    <w:p w:rsidR="00AD0D90" w:rsidRPr="006925D8" w:rsidRDefault="00571853" w:rsidP="006925D8">
      <w:pPr>
        <w:pStyle w:val="a3"/>
        <w:kinsoku w:val="0"/>
        <w:overflowPunct w:val="0"/>
        <w:spacing w:before="0" w:line="260" w:lineRule="exact"/>
        <w:ind w:left="0"/>
        <w:jc w:val="right"/>
        <w:rPr>
          <w:rFonts w:ascii="Times New Roman" w:cs="Times New Roman"/>
          <w:sz w:val="20"/>
          <w:szCs w:val="20"/>
        </w:rPr>
      </w:pPr>
      <w:r w:rsidRPr="006925D8">
        <w:rPr>
          <w:rFonts w:ascii="Times New Roman" w:cs="Times New Roman"/>
          <w:sz w:val="20"/>
          <w:szCs w:val="20"/>
        </w:rPr>
        <w:t>104</w:t>
      </w:r>
      <w:r w:rsidRPr="006925D8">
        <w:rPr>
          <w:rFonts w:ascii="Times New Roman" w:cs="Times New Roman"/>
          <w:sz w:val="20"/>
          <w:szCs w:val="20"/>
        </w:rPr>
        <w:t>年</w:t>
      </w:r>
      <w:r w:rsidRPr="006925D8">
        <w:rPr>
          <w:rFonts w:ascii="Times New Roman" w:cs="Times New Roman"/>
          <w:sz w:val="20"/>
          <w:szCs w:val="20"/>
        </w:rPr>
        <w:t>5</w:t>
      </w:r>
      <w:r w:rsidRPr="006925D8">
        <w:rPr>
          <w:rFonts w:ascii="Times New Roman" w:cs="Times New Roman"/>
          <w:sz w:val="20"/>
          <w:szCs w:val="20"/>
        </w:rPr>
        <w:t>月</w:t>
      </w:r>
      <w:r w:rsidRPr="006925D8">
        <w:rPr>
          <w:rFonts w:ascii="Times New Roman" w:cs="Times New Roman"/>
          <w:sz w:val="20"/>
          <w:szCs w:val="20"/>
        </w:rPr>
        <w:t>8</w:t>
      </w:r>
      <w:r w:rsidRPr="006925D8">
        <w:rPr>
          <w:rFonts w:ascii="Times New Roman" w:cs="Times New Roman"/>
          <w:sz w:val="20"/>
          <w:szCs w:val="20"/>
        </w:rPr>
        <w:t>日第</w:t>
      </w:r>
      <w:r w:rsidRPr="006925D8">
        <w:rPr>
          <w:rFonts w:ascii="Times New Roman" w:cs="Times New Roman"/>
          <w:sz w:val="20"/>
          <w:szCs w:val="20"/>
        </w:rPr>
        <w:t>72</w:t>
      </w:r>
      <w:r w:rsidRPr="006925D8">
        <w:rPr>
          <w:rFonts w:ascii="Times New Roman" w:cs="Times New Roman"/>
          <w:sz w:val="20"/>
          <w:szCs w:val="20"/>
        </w:rPr>
        <w:t>次校務會議通過</w:t>
      </w:r>
      <w:r w:rsidRPr="006925D8">
        <w:rPr>
          <w:rFonts w:ascii="Times New Roman" w:cs="Times New Roman"/>
          <w:sz w:val="20"/>
          <w:szCs w:val="20"/>
        </w:rPr>
        <w:t>(</w:t>
      </w:r>
      <w:r w:rsidRPr="006925D8">
        <w:rPr>
          <w:rFonts w:ascii="Times New Roman" w:cs="Times New Roman"/>
          <w:sz w:val="20"/>
          <w:szCs w:val="20"/>
        </w:rPr>
        <w:t>全份條文</w:t>
      </w:r>
      <w:r w:rsidRPr="006925D8">
        <w:rPr>
          <w:rFonts w:ascii="Times New Roman" w:cs="Times New Roman"/>
          <w:sz w:val="20"/>
          <w:szCs w:val="20"/>
        </w:rPr>
        <w:t>)</w:t>
      </w:r>
    </w:p>
    <w:p w:rsidR="00571853" w:rsidRPr="006925D8" w:rsidRDefault="00440397" w:rsidP="006925D8">
      <w:pPr>
        <w:pStyle w:val="a3"/>
        <w:kinsoku w:val="0"/>
        <w:overflowPunct w:val="0"/>
        <w:spacing w:before="0" w:line="260" w:lineRule="exact"/>
        <w:ind w:left="0"/>
        <w:jc w:val="right"/>
        <w:rPr>
          <w:rFonts w:ascii="Times New Roman" w:cs="Times New Roman"/>
          <w:sz w:val="20"/>
          <w:szCs w:val="20"/>
        </w:rPr>
      </w:pPr>
      <w:r w:rsidRPr="00440397">
        <w:rPr>
          <w:rFonts w:ascii="Times New Roman" w:cs="Times New Roman"/>
          <w:sz w:val="20"/>
          <w:szCs w:val="20"/>
        </w:rPr>
        <w:t>May 8, 2015 (All articles) Passed by the 72nd University Council Meeting</w:t>
      </w:r>
    </w:p>
    <w:p w:rsidR="00AD0D90" w:rsidRPr="006925D8" w:rsidRDefault="00571853" w:rsidP="006925D8">
      <w:pPr>
        <w:pStyle w:val="a3"/>
        <w:kinsoku w:val="0"/>
        <w:overflowPunct w:val="0"/>
        <w:spacing w:before="0" w:line="260" w:lineRule="exact"/>
        <w:ind w:left="0"/>
        <w:jc w:val="right"/>
        <w:rPr>
          <w:rFonts w:ascii="Times New Roman" w:cs="Times New Roman"/>
          <w:sz w:val="20"/>
          <w:szCs w:val="20"/>
        </w:rPr>
      </w:pPr>
      <w:r w:rsidRPr="006925D8">
        <w:rPr>
          <w:rFonts w:ascii="Times New Roman" w:cs="Times New Roman"/>
          <w:sz w:val="20"/>
          <w:szCs w:val="20"/>
        </w:rPr>
        <w:t>106</w:t>
      </w:r>
      <w:r w:rsidRPr="006925D8">
        <w:rPr>
          <w:rFonts w:ascii="Times New Roman" w:cs="Times New Roman"/>
          <w:sz w:val="20"/>
          <w:szCs w:val="20"/>
        </w:rPr>
        <w:t>年</w:t>
      </w:r>
      <w:r w:rsidRPr="006925D8">
        <w:rPr>
          <w:rFonts w:ascii="Times New Roman" w:cs="Times New Roman"/>
          <w:sz w:val="20"/>
          <w:szCs w:val="20"/>
        </w:rPr>
        <w:t>5</w:t>
      </w:r>
      <w:r w:rsidRPr="006925D8">
        <w:rPr>
          <w:rFonts w:ascii="Times New Roman" w:cs="Times New Roman"/>
          <w:sz w:val="20"/>
          <w:szCs w:val="20"/>
        </w:rPr>
        <w:t>月</w:t>
      </w:r>
      <w:r w:rsidRPr="006925D8">
        <w:rPr>
          <w:rFonts w:ascii="Times New Roman" w:cs="Times New Roman"/>
          <w:sz w:val="20"/>
          <w:szCs w:val="20"/>
        </w:rPr>
        <w:t>12</w:t>
      </w:r>
      <w:r w:rsidRPr="006925D8">
        <w:rPr>
          <w:rFonts w:ascii="Times New Roman" w:cs="Times New Roman"/>
          <w:sz w:val="20"/>
          <w:szCs w:val="20"/>
        </w:rPr>
        <w:t>日第</w:t>
      </w:r>
      <w:r w:rsidRPr="006925D8">
        <w:rPr>
          <w:rFonts w:ascii="Times New Roman" w:cs="Times New Roman"/>
          <w:sz w:val="20"/>
          <w:szCs w:val="20"/>
        </w:rPr>
        <w:t>77</w:t>
      </w:r>
      <w:r w:rsidRPr="006925D8">
        <w:rPr>
          <w:rFonts w:ascii="Times New Roman" w:cs="Times New Roman"/>
          <w:sz w:val="20"/>
          <w:szCs w:val="20"/>
        </w:rPr>
        <w:t>次校務會議修正</w:t>
      </w:r>
      <w:r w:rsidRPr="006925D8">
        <w:rPr>
          <w:rFonts w:ascii="Times New Roman" w:cs="Times New Roman"/>
          <w:sz w:val="20"/>
          <w:szCs w:val="20"/>
        </w:rPr>
        <w:t>(</w:t>
      </w:r>
      <w:r w:rsidRPr="006925D8">
        <w:rPr>
          <w:rFonts w:ascii="Times New Roman" w:cs="Times New Roman"/>
          <w:sz w:val="20"/>
          <w:szCs w:val="20"/>
        </w:rPr>
        <w:t>第</w:t>
      </w:r>
      <w:r w:rsidRPr="006925D8">
        <w:rPr>
          <w:rFonts w:ascii="Times New Roman" w:cs="Times New Roman"/>
          <w:sz w:val="20"/>
          <w:szCs w:val="20"/>
        </w:rPr>
        <w:t>2</w:t>
      </w:r>
      <w:r w:rsidRPr="006925D8">
        <w:rPr>
          <w:rFonts w:ascii="Times New Roman" w:cs="Times New Roman"/>
          <w:sz w:val="20"/>
          <w:szCs w:val="20"/>
        </w:rPr>
        <w:t>點</w:t>
      </w:r>
      <w:r w:rsidRPr="006925D8">
        <w:rPr>
          <w:rFonts w:ascii="Times New Roman" w:cs="Times New Roman"/>
          <w:sz w:val="20"/>
          <w:szCs w:val="20"/>
        </w:rPr>
        <w:t>)</w:t>
      </w:r>
    </w:p>
    <w:p w:rsidR="00571853" w:rsidRPr="006925D8" w:rsidRDefault="00440397" w:rsidP="006925D8">
      <w:pPr>
        <w:pStyle w:val="a3"/>
        <w:kinsoku w:val="0"/>
        <w:overflowPunct w:val="0"/>
        <w:spacing w:before="0" w:line="260" w:lineRule="exact"/>
        <w:ind w:left="0" w:right="117"/>
        <w:jc w:val="right"/>
        <w:rPr>
          <w:rFonts w:ascii="Times New Roman" w:cs="Times New Roman"/>
          <w:sz w:val="20"/>
          <w:szCs w:val="20"/>
        </w:rPr>
      </w:pPr>
      <w:r w:rsidRPr="00440397">
        <w:rPr>
          <w:rFonts w:ascii="Times New Roman" w:cs="Times New Roman"/>
          <w:sz w:val="20"/>
          <w:szCs w:val="20"/>
        </w:rPr>
        <w:t>May 12, 2017 (Article 2) amended and added at the 77th University Council Meeting</w:t>
      </w:r>
    </w:p>
    <w:p w:rsidR="00AD0D90" w:rsidRPr="006925D8" w:rsidRDefault="00571853" w:rsidP="006925D8">
      <w:pPr>
        <w:pStyle w:val="a3"/>
        <w:kinsoku w:val="0"/>
        <w:overflowPunct w:val="0"/>
        <w:spacing w:before="0" w:line="259" w:lineRule="exact"/>
        <w:ind w:left="0" w:right="117"/>
        <w:jc w:val="right"/>
        <w:rPr>
          <w:rFonts w:ascii="Times New Roman" w:cs="Times New Roman"/>
          <w:sz w:val="20"/>
          <w:szCs w:val="20"/>
        </w:rPr>
      </w:pPr>
      <w:r w:rsidRPr="006925D8">
        <w:rPr>
          <w:rFonts w:ascii="Times New Roman" w:cs="Times New Roman"/>
          <w:sz w:val="20"/>
          <w:szCs w:val="20"/>
        </w:rPr>
        <w:t>107</w:t>
      </w:r>
      <w:r w:rsidRPr="006925D8">
        <w:rPr>
          <w:rFonts w:ascii="Times New Roman" w:cs="Times New Roman"/>
          <w:sz w:val="20"/>
          <w:szCs w:val="20"/>
        </w:rPr>
        <w:t>年</w:t>
      </w:r>
      <w:r w:rsidRPr="006925D8">
        <w:rPr>
          <w:rFonts w:ascii="Times New Roman" w:cs="Times New Roman"/>
          <w:sz w:val="20"/>
          <w:szCs w:val="20"/>
        </w:rPr>
        <w:t>6</w:t>
      </w:r>
      <w:r w:rsidRPr="006925D8">
        <w:rPr>
          <w:rFonts w:ascii="Times New Roman" w:cs="Times New Roman"/>
          <w:sz w:val="20"/>
          <w:szCs w:val="20"/>
        </w:rPr>
        <w:t>月</w:t>
      </w:r>
      <w:r w:rsidRPr="006925D8">
        <w:rPr>
          <w:rFonts w:ascii="Times New Roman" w:cs="Times New Roman"/>
          <w:sz w:val="20"/>
          <w:szCs w:val="20"/>
        </w:rPr>
        <w:t>15</w:t>
      </w:r>
      <w:r w:rsidRPr="006925D8">
        <w:rPr>
          <w:rFonts w:ascii="Times New Roman" w:cs="Times New Roman"/>
          <w:sz w:val="20"/>
          <w:szCs w:val="20"/>
        </w:rPr>
        <w:t>日第</w:t>
      </w:r>
      <w:r w:rsidRPr="006925D8">
        <w:rPr>
          <w:rFonts w:ascii="Times New Roman" w:cs="Times New Roman"/>
          <w:sz w:val="20"/>
          <w:szCs w:val="20"/>
        </w:rPr>
        <w:t>81</w:t>
      </w:r>
      <w:r w:rsidRPr="006925D8">
        <w:rPr>
          <w:rFonts w:ascii="Times New Roman" w:cs="Times New Roman"/>
          <w:sz w:val="20"/>
          <w:szCs w:val="20"/>
        </w:rPr>
        <w:t>次校務會議修正</w:t>
      </w:r>
      <w:r w:rsidRPr="006925D8">
        <w:rPr>
          <w:rFonts w:ascii="Times New Roman" w:cs="Times New Roman"/>
          <w:sz w:val="20"/>
          <w:szCs w:val="20"/>
        </w:rPr>
        <w:t>(</w:t>
      </w:r>
      <w:r w:rsidRPr="006925D8">
        <w:rPr>
          <w:rFonts w:ascii="Times New Roman" w:cs="Times New Roman"/>
          <w:sz w:val="20"/>
          <w:szCs w:val="20"/>
        </w:rPr>
        <w:t>第</w:t>
      </w:r>
      <w:r w:rsidRPr="006925D8">
        <w:rPr>
          <w:rFonts w:ascii="Times New Roman" w:cs="Times New Roman"/>
          <w:sz w:val="20"/>
          <w:szCs w:val="20"/>
        </w:rPr>
        <w:t>5</w:t>
      </w:r>
      <w:r w:rsidRPr="006925D8">
        <w:rPr>
          <w:rFonts w:ascii="Times New Roman" w:cs="Times New Roman"/>
          <w:sz w:val="20"/>
          <w:szCs w:val="20"/>
        </w:rPr>
        <w:t>點</w:t>
      </w:r>
      <w:r w:rsidRPr="006925D8">
        <w:rPr>
          <w:rFonts w:ascii="Times New Roman" w:cs="Times New Roman"/>
          <w:sz w:val="20"/>
          <w:szCs w:val="20"/>
        </w:rPr>
        <w:t>)</w:t>
      </w:r>
    </w:p>
    <w:p w:rsidR="00571853" w:rsidRPr="006925D8" w:rsidRDefault="00440397" w:rsidP="006925D8">
      <w:pPr>
        <w:pStyle w:val="a3"/>
        <w:kinsoku w:val="0"/>
        <w:overflowPunct w:val="0"/>
        <w:spacing w:before="0" w:line="259" w:lineRule="exact"/>
        <w:ind w:left="0" w:right="117"/>
        <w:jc w:val="right"/>
        <w:rPr>
          <w:rFonts w:ascii="Times New Roman" w:cs="Times New Roman"/>
          <w:sz w:val="20"/>
          <w:szCs w:val="20"/>
        </w:rPr>
      </w:pPr>
      <w:r w:rsidRPr="00440397">
        <w:rPr>
          <w:rFonts w:ascii="Times New Roman" w:cs="Times New Roman"/>
          <w:sz w:val="20"/>
          <w:szCs w:val="20"/>
        </w:rPr>
        <w:t>June 15, 2018 (Article 5) amended and added at the 81st University Council Meeting</w:t>
      </w:r>
    </w:p>
    <w:p w:rsidR="00AD0D90" w:rsidRPr="006925D8" w:rsidRDefault="00571853" w:rsidP="006925D8">
      <w:pPr>
        <w:pStyle w:val="a3"/>
        <w:kinsoku w:val="0"/>
        <w:overflowPunct w:val="0"/>
        <w:spacing w:before="0" w:line="260" w:lineRule="exact"/>
        <w:ind w:left="0"/>
        <w:jc w:val="right"/>
        <w:rPr>
          <w:rFonts w:ascii="Times New Roman" w:cs="Times New Roman"/>
          <w:sz w:val="20"/>
          <w:szCs w:val="20"/>
        </w:rPr>
      </w:pPr>
      <w:r w:rsidRPr="006925D8">
        <w:rPr>
          <w:rFonts w:ascii="Times New Roman" w:cs="Times New Roman"/>
          <w:sz w:val="20"/>
          <w:szCs w:val="20"/>
        </w:rPr>
        <w:t>109</w:t>
      </w:r>
      <w:r w:rsidRPr="006925D8">
        <w:rPr>
          <w:rFonts w:ascii="Times New Roman" w:cs="Times New Roman"/>
          <w:sz w:val="20"/>
          <w:szCs w:val="20"/>
        </w:rPr>
        <w:t>年</w:t>
      </w:r>
      <w:r w:rsidRPr="006925D8">
        <w:rPr>
          <w:rFonts w:ascii="Times New Roman" w:cs="Times New Roman"/>
          <w:sz w:val="20"/>
          <w:szCs w:val="20"/>
        </w:rPr>
        <w:t>12</w:t>
      </w:r>
      <w:r w:rsidRPr="006925D8">
        <w:rPr>
          <w:rFonts w:ascii="Times New Roman" w:cs="Times New Roman"/>
          <w:sz w:val="20"/>
          <w:szCs w:val="20"/>
        </w:rPr>
        <w:t>月</w:t>
      </w:r>
      <w:r w:rsidRPr="006925D8">
        <w:rPr>
          <w:rFonts w:ascii="Times New Roman" w:cs="Times New Roman"/>
          <w:sz w:val="20"/>
          <w:szCs w:val="20"/>
        </w:rPr>
        <w:t>25</w:t>
      </w:r>
      <w:r w:rsidRPr="006925D8">
        <w:rPr>
          <w:rFonts w:ascii="Times New Roman" w:cs="Times New Roman"/>
          <w:sz w:val="20"/>
          <w:szCs w:val="20"/>
        </w:rPr>
        <w:t>日第</w:t>
      </w:r>
      <w:r w:rsidRPr="006925D8">
        <w:rPr>
          <w:rFonts w:ascii="Times New Roman" w:cs="Times New Roman"/>
          <w:sz w:val="20"/>
          <w:szCs w:val="20"/>
        </w:rPr>
        <w:t>91</w:t>
      </w:r>
      <w:r w:rsidRPr="006925D8">
        <w:rPr>
          <w:rFonts w:ascii="Times New Roman" w:cs="Times New Roman"/>
          <w:sz w:val="20"/>
          <w:szCs w:val="20"/>
        </w:rPr>
        <w:t>次校務會議修正</w:t>
      </w:r>
      <w:r w:rsidRPr="006925D8">
        <w:rPr>
          <w:rFonts w:ascii="Times New Roman" w:cs="Times New Roman"/>
          <w:sz w:val="20"/>
          <w:szCs w:val="20"/>
        </w:rPr>
        <w:t>(</w:t>
      </w:r>
      <w:r w:rsidRPr="006925D8">
        <w:rPr>
          <w:rFonts w:ascii="Times New Roman" w:cs="Times New Roman"/>
          <w:sz w:val="20"/>
          <w:szCs w:val="20"/>
        </w:rPr>
        <w:t>第</w:t>
      </w:r>
      <w:r w:rsidRPr="006925D8">
        <w:rPr>
          <w:rFonts w:ascii="Times New Roman" w:cs="Times New Roman"/>
          <w:sz w:val="20"/>
          <w:szCs w:val="20"/>
        </w:rPr>
        <w:t>6-16</w:t>
      </w:r>
      <w:r w:rsidRPr="006925D8">
        <w:rPr>
          <w:rFonts w:ascii="Times New Roman" w:cs="Times New Roman"/>
          <w:sz w:val="20"/>
          <w:szCs w:val="20"/>
        </w:rPr>
        <w:t>點</w:t>
      </w:r>
      <w:r w:rsidRPr="006925D8">
        <w:rPr>
          <w:rFonts w:ascii="Times New Roman" w:cs="Times New Roman"/>
          <w:sz w:val="20"/>
          <w:szCs w:val="20"/>
        </w:rPr>
        <w:t>)</w:t>
      </w:r>
    </w:p>
    <w:p w:rsidR="00571853" w:rsidRPr="006925D8" w:rsidRDefault="00440397" w:rsidP="006925D8">
      <w:pPr>
        <w:pStyle w:val="a3"/>
        <w:kinsoku w:val="0"/>
        <w:overflowPunct w:val="0"/>
        <w:spacing w:before="0" w:line="260" w:lineRule="exact"/>
        <w:ind w:left="0"/>
        <w:jc w:val="right"/>
        <w:rPr>
          <w:rFonts w:ascii="Times New Roman" w:cs="Times New Roman"/>
          <w:sz w:val="20"/>
          <w:szCs w:val="20"/>
        </w:rPr>
      </w:pPr>
      <w:r w:rsidRPr="00440397">
        <w:rPr>
          <w:rFonts w:ascii="Times New Roman" w:cs="Times New Roman"/>
          <w:sz w:val="20"/>
          <w:szCs w:val="20"/>
        </w:rPr>
        <w:t>December 25, 2020 (Articles 6 through 16) amended and added at the 91st University Council Meeting</w:t>
      </w:r>
    </w:p>
    <w:p w:rsidR="00AD0D90" w:rsidRPr="006925D8" w:rsidRDefault="00571853" w:rsidP="006925D8">
      <w:pPr>
        <w:pStyle w:val="a3"/>
        <w:kinsoku w:val="0"/>
        <w:overflowPunct w:val="0"/>
        <w:spacing w:before="0" w:line="260" w:lineRule="exact"/>
        <w:ind w:left="0" w:right="117"/>
        <w:jc w:val="right"/>
        <w:rPr>
          <w:rFonts w:ascii="Times New Roman" w:cs="Times New Roman"/>
          <w:sz w:val="20"/>
          <w:szCs w:val="20"/>
        </w:rPr>
      </w:pPr>
      <w:r w:rsidRPr="006925D8">
        <w:rPr>
          <w:rFonts w:ascii="Times New Roman" w:cs="Times New Roman"/>
          <w:sz w:val="20"/>
          <w:szCs w:val="20"/>
        </w:rPr>
        <w:t>110</w:t>
      </w:r>
      <w:r w:rsidRPr="006925D8">
        <w:rPr>
          <w:rFonts w:ascii="Times New Roman" w:cs="Times New Roman"/>
          <w:sz w:val="20"/>
          <w:szCs w:val="20"/>
        </w:rPr>
        <w:t>年</w:t>
      </w:r>
      <w:r w:rsidRPr="006925D8">
        <w:rPr>
          <w:rFonts w:ascii="Times New Roman" w:cs="Times New Roman"/>
          <w:sz w:val="20"/>
          <w:szCs w:val="20"/>
        </w:rPr>
        <w:t>12</w:t>
      </w:r>
      <w:r w:rsidRPr="006925D8">
        <w:rPr>
          <w:rFonts w:ascii="Times New Roman" w:cs="Times New Roman"/>
          <w:sz w:val="20"/>
          <w:szCs w:val="20"/>
        </w:rPr>
        <w:t>月</w:t>
      </w:r>
      <w:r w:rsidRPr="006925D8">
        <w:rPr>
          <w:rFonts w:ascii="Times New Roman" w:cs="Times New Roman"/>
          <w:sz w:val="20"/>
          <w:szCs w:val="20"/>
        </w:rPr>
        <w:t>24</w:t>
      </w:r>
      <w:r w:rsidRPr="006925D8">
        <w:rPr>
          <w:rFonts w:ascii="Times New Roman" w:cs="Times New Roman"/>
          <w:sz w:val="20"/>
          <w:szCs w:val="20"/>
        </w:rPr>
        <w:t>日第</w:t>
      </w:r>
      <w:r w:rsidRPr="006925D8">
        <w:rPr>
          <w:rFonts w:ascii="Times New Roman" w:cs="Times New Roman"/>
          <w:sz w:val="20"/>
          <w:szCs w:val="20"/>
        </w:rPr>
        <w:t>95</w:t>
      </w:r>
      <w:r w:rsidRPr="006925D8">
        <w:rPr>
          <w:rFonts w:ascii="Times New Roman" w:cs="Times New Roman"/>
          <w:sz w:val="20"/>
          <w:szCs w:val="20"/>
        </w:rPr>
        <w:t>次校務會議修正</w:t>
      </w:r>
      <w:r w:rsidRPr="006925D8">
        <w:rPr>
          <w:rFonts w:ascii="Times New Roman" w:cs="Times New Roman"/>
          <w:sz w:val="20"/>
          <w:szCs w:val="20"/>
        </w:rPr>
        <w:t>(</w:t>
      </w:r>
      <w:r w:rsidRPr="006925D8">
        <w:rPr>
          <w:rFonts w:ascii="Times New Roman" w:cs="Times New Roman"/>
          <w:sz w:val="20"/>
          <w:szCs w:val="20"/>
        </w:rPr>
        <w:t>第</w:t>
      </w:r>
      <w:r w:rsidRPr="006925D8">
        <w:rPr>
          <w:rFonts w:ascii="Times New Roman" w:cs="Times New Roman"/>
          <w:sz w:val="20"/>
          <w:szCs w:val="20"/>
        </w:rPr>
        <w:t>12</w:t>
      </w:r>
      <w:r w:rsidRPr="006925D8">
        <w:rPr>
          <w:rFonts w:ascii="Times New Roman" w:cs="Times New Roman"/>
          <w:sz w:val="20"/>
          <w:szCs w:val="20"/>
        </w:rPr>
        <w:t>點</w:t>
      </w:r>
      <w:r w:rsidRPr="006925D8">
        <w:rPr>
          <w:rFonts w:ascii="Times New Roman" w:cs="Times New Roman"/>
          <w:sz w:val="20"/>
          <w:szCs w:val="20"/>
        </w:rPr>
        <w:t>)</w:t>
      </w:r>
    </w:p>
    <w:p w:rsidR="00571853" w:rsidRPr="006925D8" w:rsidRDefault="00440397" w:rsidP="006925D8">
      <w:pPr>
        <w:pStyle w:val="a3"/>
        <w:kinsoku w:val="0"/>
        <w:overflowPunct w:val="0"/>
        <w:spacing w:before="0" w:line="260" w:lineRule="exact"/>
        <w:ind w:left="0" w:right="117"/>
        <w:jc w:val="right"/>
        <w:rPr>
          <w:rFonts w:ascii="Times New Roman" w:cs="Times New Roman"/>
          <w:sz w:val="20"/>
          <w:szCs w:val="20"/>
        </w:rPr>
      </w:pPr>
      <w:r w:rsidRPr="00440397">
        <w:rPr>
          <w:rFonts w:ascii="Times New Roman" w:cs="Times New Roman"/>
          <w:sz w:val="20"/>
          <w:szCs w:val="20"/>
        </w:rPr>
        <w:t>December 24, 2021 (Article 12) amended and added at the 95th University Council Meeting</w:t>
      </w:r>
    </w:p>
    <w:p w:rsidR="00AD0D90" w:rsidRPr="006925D8" w:rsidRDefault="00571853" w:rsidP="006925D8">
      <w:pPr>
        <w:pStyle w:val="a3"/>
        <w:kinsoku w:val="0"/>
        <w:overflowPunct w:val="0"/>
        <w:spacing w:before="0" w:line="260" w:lineRule="exact"/>
        <w:ind w:left="0"/>
        <w:jc w:val="right"/>
        <w:rPr>
          <w:rFonts w:ascii="Times New Roman" w:cs="Times New Roman"/>
          <w:sz w:val="20"/>
          <w:szCs w:val="20"/>
        </w:rPr>
      </w:pPr>
      <w:r w:rsidRPr="006925D8">
        <w:rPr>
          <w:rFonts w:ascii="Times New Roman" w:cs="Times New Roman"/>
          <w:sz w:val="20"/>
          <w:szCs w:val="20"/>
        </w:rPr>
        <w:t>111</w:t>
      </w:r>
      <w:r w:rsidRPr="006925D8">
        <w:rPr>
          <w:rFonts w:ascii="Times New Roman" w:cs="Times New Roman"/>
          <w:sz w:val="20"/>
          <w:szCs w:val="20"/>
        </w:rPr>
        <w:t>年</w:t>
      </w:r>
      <w:r w:rsidRPr="006925D8">
        <w:rPr>
          <w:rFonts w:ascii="Times New Roman" w:cs="Times New Roman"/>
          <w:sz w:val="20"/>
          <w:szCs w:val="20"/>
        </w:rPr>
        <w:t>4</w:t>
      </w:r>
      <w:r w:rsidRPr="006925D8">
        <w:rPr>
          <w:rFonts w:ascii="Times New Roman" w:cs="Times New Roman"/>
          <w:sz w:val="20"/>
          <w:szCs w:val="20"/>
        </w:rPr>
        <w:t>月</w:t>
      </w:r>
      <w:r w:rsidRPr="006925D8">
        <w:rPr>
          <w:rFonts w:ascii="Times New Roman" w:cs="Times New Roman"/>
          <w:sz w:val="20"/>
          <w:szCs w:val="20"/>
        </w:rPr>
        <w:t>22</w:t>
      </w:r>
      <w:r w:rsidRPr="006925D8">
        <w:rPr>
          <w:rFonts w:ascii="Times New Roman" w:cs="Times New Roman"/>
          <w:sz w:val="20"/>
          <w:szCs w:val="20"/>
        </w:rPr>
        <w:t>日第</w:t>
      </w:r>
      <w:r w:rsidRPr="006925D8">
        <w:rPr>
          <w:rFonts w:ascii="Times New Roman" w:cs="Times New Roman"/>
          <w:sz w:val="20"/>
          <w:szCs w:val="20"/>
        </w:rPr>
        <w:t>96</w:t>
      </w:r>
      <w:r w:rsidRPr="006925D8">
        <w:rPr>
          <w:rFonts w:ascii="Times New Roman" w:cs="Times New Roman"/>
          <w:sz w:val="20"/>
          <w:szCs w:val="20"/>
        </w:rPr>
        <w:t>次校務會議修正</w:t>
      </w:r>
      <w:r w:rsidRPr="006925D8">
        <w:rPr>
          <w:rFonts w:ascii="Times New Roman" w:cs="Times New Roman"/>
          <w:sz w:val="20"/>
          <w:szCs w:val="20"/>
        </w:rPr>
        <w:t>(</w:t>
      </w:r>
      <w:r w:rsidRPr="006925D8">
        <w:rPr>
          <w:rFonts w:ascii="Times New Roman" w:cs="Times New Roman"/>
          <w:sz w:val="20"/>
          <w:szCs w:val="20"/>
        </w:rPr>
        <w:t>第</w:t>
      </w:r>
      <w:r w:rsidRPr="006925D8">
        <w:rPr>
          <w:rFonts w:ascii="Times New Roman" w:cs="Times New Roman"/>
          <w:sz w:val="20"/>
          <w:szCs w:val="20"/>
        </w:rPr>
        <w:t>2</w:t>
      </w:r>
      <w:r w:rsidRPr="006925D8">
        <w:rPr>
          <w:rFonts w:ascii="Times New Roman" w:cs="Times New Roman"/>
          <w:sz w:val="20"/>
          <w:szCs w:val="20"/>
        </w:rPr>
        <w:t>、</w:t>
      </w:r>
      <w:r w:rsidRPr="006925D8">
        <w:rPr>
          <w:rFonts w:ascii="Times New Roman" w:cs="Times New Roman"/>
          <w:sz w:val="20"/>
          <w:szCs w:val="20"/>
        </w:rPr>
        <w:t>11</w:t>
      </w:r>
      <w:r w:rsidRPr="006925D8">
        <w:rPr>
          <w:rFonts w:ascii="Times New Roman" w:cs="Times New Roman"/>
          <w:sz w:val="20"/>
          <w:szCs w:val="20"/>
        </w:rPr>
        <w:t>、</w:t>
      </w:r>
      <w:r w:rsidRPr="006925D8">
        <w:rPr>
          <w:rFonts w:ascii="Times New Roman" w:cs="Times New Roman"/>
          <w:sz w:val="20"/>
          <w:szCs w:val="20"/>
        </w:rPr>
        <w:t>14-16</w:t>
      </w:r>
      <w:r w:rsidRPr="006925D8">
        <w:rPr>
          <w:rFonts w:ascii="Times New Roman" w:cs="Times New Roman"/>
          <w:sz w:val="20"/>
          <w:szCs w:val="20"/>
        </w:rPr>
        <w:t>點</w:t>
      </w:r>
      <w:r w:rsidRPr="006925D8">
        <w:rPr>
          <w:rFonts w:ascii="Times New Roman" w:cs="Times New Roman"/>
          <w:sz w:val="20"/>
          <w:szCs w:val="20"/>
        </w:rPr>
        <w:t>)</w:t>
      </w:r>
    </w:p>
    <w:p w:rsidR="00571853" w:rsidRPr="006925D8" w:rsidRDefault="00440397" w:rsidP="006925D8">
      <w:pPr>
        <w:pStyle w:val="a3"/>
        <w:kinsoku w:val="0"/>
        <w:overflowPunct w:val="0"/>
        <w:spacing w:before="0" w:line="260" w:lineRule="exact"/>
        <w:ind w:left="0"/>
        <w:jc w:val="right"/>
        <w:rPr>
          <w:rFonts w:ascii="Times New Roman" w:cs="Times New Roman"/>
          <w:sz w:val="20"/>
          <w:szCs w:val="20"/>
        </w:rPr>
      </w:pPr>
      <w:r w:rsidRPr="00440397">
        <w:rPr>
          <w:rFonts w:ascii="Times New Roman" w:cs="Times New Roman"/>
          <w:sz w:val="20"/>
          <w:szCs w:val="20"/>
        </w:rPr>
        <w:t>April 22, 2022 (Articles 2, 11, and 14 through 16) amended and added at the 96th University Council Meeting</w:t>
      </w:r>
    </w:p>
    <w:p w:rsidR="00AD0D90" w:rsidRPr="006925D8" w:rsidRDefault="00571853" w:rsidP="006925D8">
      <w:pPr>
        <w:pStyle w:val="a3"/>
        <w:kinsoku w:val="0"/>
        <w:overflowPunct w:val="0"/>
        <w:spacing w:before="0" w:line="263" w:lineRule="exact"/>
        <w:ind w:left="0" w:firstLine="5586"/>
        <w:jc w:val="right"/>
        <w:rPr>
          <w:rFonts w:ascii="Times New Roman" w:cs="Times New Roman"/>
          <w:sz w:val="20"/>
          <w:szCs w:val="20"/>
        </w:rPr>
      </w:pPr>
      <w:r w:rsidRPr="006925D8">
        <w:rPr>
          <w:rFonts w:ascii="Times New Roman" w:cs="Times New Roman"/>
          <w:sz w:val="20"/>
          <w:szCs w:val="20"/>
        </w:rPr>
        <w:t>114</w:t>
      </w:r>
      <w:r w:rsidRPr="006925D8">
        <w:rPr>
          <w:rFonts w:ascii="Times New Roman" w:cs="Times New Roman"/>
          <w:sz w:val="20"/>
          <w:szCs w:val="20"/>
        </w:rPr>
        <w:t>年</w:t>
      </w:r>
      <w:r w:rsidRPr="006925D8">
        <w:rPr>
          <w:rFonts w:ascii="Times New Roman" w:cs="Times New Roman"/>
          <w:sz w:val="20"/>
          <w:szCs w:val="20"/>
        </w:rPr>
        <w:t>10</w:t>
      </w:r>
      <w:r w:rsidRPr="006925D8">
        <w:rPr>
          <w:rFonts w:ascii="Times New Roman" w:cs="Times New Roman"/>
          <w:sz w:val="20"/>
          <w:szCs w:val="20"/>
        </w:rPr>
        <w:t>月</w:t>
      </w:r>
      <w:r w:rsidRPr="006925D8">
        <w:rPr>
          <w:rFonts w:ascii="Times New Roman" w:cs="Times New Roman"/>
          <w:sz w:val="20"/>
          <w:szCs w:val="20"/>
        </w:rPr>
        <w:t>17</w:t>
      </w:r>
      <w:r w:rsidRPr="006925D8">
        <w:rPr>
          <w:rFonts w:ascii="Times New Roman" w:cs="Times New Roman"/>
          <w:sz w:val="20"/>
          <w:szCs w:val="20"/>
        </w:rPr>
        <w:t>日第</w:t>
      </w:r>
      <w:r w:rsidRPr="006925D8">
        <w:rPr>
          <w:rFonts w:ascii="Times New Roman" w:cs="Times New Roman"/>
          <w:sz w:val="20"/>
          <w:szCs w:val="20"/>
        </w:rPr>
        <w:t>110</w:t>
      </w:r>
      <w:r w:rsidRPr="006925D8">
        <w:rPr>
          <w:rFonts w:ascii="Times New Roman" w:cs="Times New Roman"/>
          <w:sz w:val="20"/>
          <w:szCs w:val="20"/>
        </w:rPr>
        <w:t>次校務會議修正</w:t>
      </w:r>
      <w:r w:rsidRPr="006925D8">
        <w:rPr>
          <w:rFonts w:ascii="Times New Roman" w:cs="Times New Roman"/>
          <w:sz w:val="20"/>
          <w:szCs w:val="20"/>
        </w:rPr>
        <w:t>(</w:t>
      </w:r>
      <w:r w:rsidRPr="006925D8">
        <w:rPr>
          <w:rFonts w:ascii="Times New Roman" w:cs="Times New Roman"/>
          <w:sz w:val="20"/>
          <w:szCs w:val="20"/>
        </w:rPr>
        <w:t>第</w:t>
      </w:r>
      <w:r w:rsidRPr="006925D8">
        <w:rPr>
          <w:rFonts w:ascii="Times New Roman" w:cs="Times New Roman"/>
          <w:sz w:val="20"/>
          <w:szCs w:val="20"/>
        </w:rPr>
        <w:t>3</w:t>
      </w:r>
      <w:r w:rsidRPr="006925D8">
        <w:rPr>
          <w:rFonts w:ascii="Times New Roman" w:cs="Times New Roman"/>
          <w:sz w:val="20"/>
          <w:szCs w:val="20"/>
        </w:rPr>
        <w:t>、</w:t>
      </w:r>
      <w:r w:rsidRPr="006925D8">
        <w:rPr>
          <w:rFonts w:ascii="Times New Roman" w:cs="Times New Roman"/>
          <w:sz w:val="20"/>
          <w:szCs w:val="20"/>
        </w:rPr>
        <w:t>9</w:t>
      </w:r>
      <w:r w:rsidRPr="006925D8">
        <w:rPr>
          <w:rFonts w:ascii="Times New Roman" w:cs="Times New Roman"/>
          <w:sz w:val="20"/>
          <w:szCs w:val="20"/>
        </w:rPr>
        <w:t>點</w:t>
      </w:r>
      <w:r w:rsidRPr="006925D8">
        <w:rPr>
          <w:rFonts w:ascii="Times New Roman" w:cs="Times New Roman"/>
          <w:sz w:val="20"/>
          <w:szCs w:val="20"/>
        </w:rPr>
        <w:t>)</w:t>
      </w:r>
    </w:p>
    <w:p w:rsidR="00571853" w:rsidRPr="006925D8" w:rsidRDefault="00440397" w:rsidP="00440397">
      <w:pPr>
        <w:pStyle w:val="a3"/>
        <w:kinsoku w:val="0"/>
        <w:overflowPunct w:val="0"/>
        <w:spacing w:before="0" w:line="260" w:lineRule="exact"/>
        <w:ind w:left="0"/>
        <w:jc w:val="right"/>
        <w:rPr>
          <w:rFonts w:ascii="Times New Roman" w:cs="Times New Roman"/>
          <w:sz w:val="20"/>
          <w:szCs w:val="20"/>
        </w:rPr>
      </w:pPr>
      <w:r w:rsidRPr="00440397">
        <w:rPr>
          <w:rFonts w:ascii="Times New Roman" w:cs="Times New Roman"/>
          <w:sz w:val="20"/>
          <w:szCs w:val="20"/>
        </w:rPr>
        <w:t>October 17, 2025 (Articles 3 and 9) amended and added at the 110th University Council Meeting</w:t>
      </w:r>
    </w:p>
    <w:p w:rsidR="00571853" w:rsidRPr="006925D8" w:rsidRDefault="00571853">
      <w:pPr>
        <w:pStyle w:val="a3"/>
        <w:kinsoku w:val="0"/>
        <w:overflowPunct w:val="0"/>
        <w:ind w:left="0"/>
        <w:rPr>
          <w:rFonts w:ascii="Times New Roman" w:cs="Times New Roman"/>
          <w:sz w:val="21"/>
          <w:szCs w:val="21"/>
        </w:rPr>
      </w:pPr>
    </w:p>
    <w:p w:rsidR="00AD0D90" w:rsidRPr="006925D8" w:rsidRDefault="00571853" w:rsidP="004B2B5F">
      <w:pPr>
        <w:ind w:leftChars="59" w:left="992" w:hangingChars="354" w:hanging="850"/>
        <w:rPr>
          <w:rFonts w:eastAsia="標楷體"/>
        </w:rPr>
      </w:pPr>
      <w:r w:rsidRPr="006925D8">
        <w:rPr>
          <w:rFonts w:eastAsia="標楷體"/>
        </w:rPr>
        <w:t>一、</w:t>
      </w:r>
      <w:r w:rsidRPr="006925D8">
        <w:rPr>
          <w:rFonts w:eastAsia="標楷體"/>
        </w:rPr>
        <w:tab/>
      </w:r>
      <w:r w:rsidRPr="006925D8">
        <w:rPr>
          <w:rFonts w:eastAsia="標楷體"/>
        </w:rPr>
        <w:t>國立中興大學</w:t>
      </w:r>
      <w:r w:rsidRPr="006925D8">
        <w:rPr>
          <w:rFonts w:eastAsia="標楷體"/>
        </w:rPr>
        <w:t>(</w:t>
      </w:r>
      <w:r w:rsidRPr="006925D8">
        <w:rPr>
          <w:rFonts w:eastAsia="標楷體"/>
        </w:rPr>
        <w:t>以下簡稱本校</w:t>
      </w:r>
      <w:r w:rsidRPr="006925D8">
        <w:rPr>
          <w:rFonts w:eastAsia="標楷體"/>
        </w:rPr>
        <w:t>)</w:t>
      </w:r>
      <w:r w:rsidRPr="006925D8">
        <w:rPr>
          <w:rFonts w:eastAsia="標楷體"/>
        </w:rPr>
        <w:t>為辦理利益衝突迴避及資訊揭露審議管理之目的，依據科學技術基本法、政府科學技術研究發展成果歸屬及運用辦法訂定「國立中興大學研發成果管理及運用之利益衝突與迴避原則」</w:t>
      </w:r>
      <w:r w:rsidRPr="006925D8">
        <w:rPr>
          <w:rFonts w:eastAsia="標楷體"/>
        </w:rPr>
        <w:t>(</w:t>
      </w:r>
      <w:r w:rsidRPr="006925D8">
        <w:rPr>
          <w:rFonts w:eastAsia="標楷體"/>
        </w:rPr>
        <w:t>以下簡稱本原則</w:t>
      </w:r>
      <w:r w:rsidRPr="006925D8">
        <w:rPr>
          <w:rFonts w:eastAsia="標楷體"/>
        </w:rPr>
        <w:t>)</w:t>
      </w:r>
      <w:r w:rsidRPr="006925D8">
        <w:rPr>
          <w:rFonts w:eastAsia="標楷體"/>
        </w:rPr>
        <w:t>。</w:t>
      </w:r>
    </w:p>
    <w:p w:rsidR="00571853" w:rsidRPr="006925D8" w:rsidRDefault="00AD0D90" w:rsidP="004B2B5F">
      <w:pPr>
        <w:ind w:leftChars="59" w:left="992" w:hangingChars="354" w:hanging="850"/>
        <w:rPr>
          <w:rFonts w:eastAsia="標楷體"/>
        </w:rPr>
      </w:pPr>
      <w:r w:rsidRPr="006925D8">
        <w:rPr>
          <w:rFonts w:eastAsia="標楷體"/>
        </w:rPr>
        <w:t>I.</w:t>
      </w:r>
      <w:r w:rsidRPr="006925D8">
        <w:rPr>
          <w:rFonts w:eastAsia="標楷體"/>
        </w:rPr>
        <w:tab/>
      </w:r>
      <w:r w:rsidR="00440397" w:rsidRPr="00440397">
        <w:rPr>
          <w:rFonts w:eastAsia="標楷體"/>
        </w:rPr>
        <w:t xml:space="preserve">The National Chung </w:t>
      </w:r>
      <w:proofErr w:type="spellStart"/>
      <w:r w:rsidR="00440397" w:rsidRPr="00440397">
        <w:rPr>
          <w:rFonts w:eastAsia="標楷體"/>
        </w:rPr>
        <w:t>Hsing</w:t>
      </w:r>
      <w:proofErr w:type="spellEnd"/>
      <w:r w:rsidR="00440397" w:rsidRPr="00440397">
        <w:rPr>
          <w:rFonts w:eastAsia="標楷體"/>
        </w:rPr>
        <w:t xml:space="preserve"> University (hereinafter referred to as the University) has formulated the Conflicts of Interest and Recusal Principles in the Management and Utilization of Research and Development Outcomes (hereinafter referred to as these Principles) in accordance with the Government Scientific and Technological Research and Development Results Ownership and Utilization Regulation to manage the review of conflict of interest, recusals and disclosures.</w:t>
      </w:r>
    </w:p>
    <w:p w:rsidR="00AD0D90" w:rsidRPr="006925D8" w:rsidRDefault="00571853" w:rsidP="004B2B5F">
      <w:pPr>
        <w:ind w:leftChars="59" w:left="992" w:hangingChars="354" w:hanging="850"/>
        <w:rPr>
          <w:rFonts w:eastAsia="標楷體"/>
        </w:rPr>
      </w:pPr>
      <w:r w:rsidRPr="006925D8">
        <w:rPr>
          <w:rFonts w:eastAsia="標楷體"/>
        </w:rPr>
        <w:t>二、</w:t>
      </w:r>
      <w:r w:rsidRPr="006925D8">
        <w:rPr>
          <w:rFonts w:eastAsia="標楷體"/>
        </w:rPr>
        <w:tab/>
      </w:r>
      <w:r w:rsidRPr="006925D8">
        <w:rPr>
          <w:rFonts w:eastAsia="標楷體"/>
        </w:rPr>
        <w:t>本校研發成果管理及運用之利益衝突迴避，由本校專利技轉推動委員會負責訂定管理機制，並由本校專利</w:t>
      </w:r>
      <w:proofErr w:type="gramStart"/>
      <w:r w:rsidRPr="006925D8">
        <w:rPr>
          <w:rFonts w:eastAsia="標楷體"/>
        </w:rPr>
        <w:t>技轉組負責</w:t>
      </w:r>
      <w:proofErr w:type="gramEnd"/>
      <w:r w:rsidRPr="006925D8">
        <w:rPr>
          <w:rFonts w:eastAsia="標楷體"/>
        </w:rPr>
        <w:t>受理利益衝突相關資訊之申報與揭露及內、外部通報等事宜。本校發生研發成果管理及運用之利益衝突與迴避案件時，應成立利益衝突與迴避審議委員會</w:t>
      </w:r>
      <w:r w:rsidRPr="006925D8">
        <w:rPr>
          <w:rFonts w:eastAsia="標楷體"/>
        </w:rPr>
        <w:t>(</w:t>
      </w:r>
      <w:r w:rsidRPr="006925D8">
        <w:rPr>
          <w:rFonts w:eastAsia="標楷體"/>
        </w:rPr>
        <w:t>以下簡稱審議委員會</w:t>
      </w:r>
      <w:r w:rsidRPr="006925D8">
        <w:rPr>
          <w:rFonts w:eastAsia="標楷體"/>
        </w:rPr>
        <w:t>)</w:t>
      </w:r>
      <w:r w:rsidRPr="006925D8">
        <w:rPr>
          <w:rFonts w:eastAsia="標楷體"/>
        </w:rPr>
        <w:t>處理。審議委員會成員由本校專利技轉推動委員會召集人推派委員七人擔任審議委員，簽請校長聘任之，並由審議委員推選一人擔任召集人，委員任期一年。審議委員如為利益衝突審議案件之當事人或關係人時，應自行迴避，且審議委員應善盡保密原則。</w:t>
      </w:r>
    </w:p>
    <w:p w:rsidR="00571853" w:rsidRPr="006925D8" w:rsidRDefault="00AD0D90" w:rsidP="004B2B5F">
      <w:pPr>
        <w:ind w:leftChars="59" w:left="992" w:hangingChars="354" w:hanging="850"/>
        <w:rPr>
          <w:rFonts w:eastAsia="標楷體"/>
        </w:rPr>
      </w:pPr>
      <w:r w:rsidRPr="006925D8">
        <w:rPr>
          <w:rFonts w:eastAsia="標楷體"/>
        </w:rPr>
        <w:t>II.</w:t>
      </w:r>
      <w:r w:rsidRPr="006925D8">
        <w:rPr>
          <w:rFonts w:eastAsia="標楷體"/>
        </w:rPr>
        <w:tab/>
      </w:r>
      <w:r w:rsidR="00440397" w:rsidRPr="00440397">
        <w:rPr>
          <w:rFonts w:eastAsia="標楷體"/>
        </w:rPr>
        <w:t>The University</w:t>
      </w:r>
      <w:bookmarkStart w:id="0" w:name="_GoBack"/>
      <w:r w:rsidR="00440397" w:rsidRPr="00440397">
        <w:rPr>
          <w:rFonts w:eastAsia="標楷體"/>
        </w:rPr>
        <w:t>’</w:t>
      </w:r>
      <w:bookmarkEnd w:id="0"/>
      <w:r w:rsidR="00440397" w:rsidRPr="00440397">
        <w:rPr>
          <w:rFonts w:eastAsia="標楷體"/>
        </w:rPr>
        <w:t>s Patent and Technology Transfer Promotion Committee (hereinafter referred to as the Committee) shall be responsible for formulating a system for overseeing conflicts of interest and recusal in the management and utilization of the University’s research and development outcomes. The Patent and Technology Transfer Division shall be responsible for handling related complaints, disclosures, and internal and external reporting.</w:t>
      </w:r>
      <w:r w:rsidRPr="006925D8">
        <w:rPr>
          <w:rFonts w:eastAsia="標楷體"/>
        </w:rPr>
        <w:t xml:space="preserve"> </w:t>
      </w:r>
      <w:r w:rsidR="00440397" w:rsidRPr="00440397">
        <w:rPr>
          <w:rFonts w:eastAsia="標楷體"/>
        </w:rPr>
        <w:t>In the event of a conflict of interest in the management of R&amp;D outcomes, the University shall establish a Conflict of Interest and Recusal Review Task Force (hereinafter referred to as the Task Force) to handle the case.</w:t>
      </w:r>
      <w:r w:rsidRPr="006925D8">
        <w:rPr>
          <w:rFonts w:eastAsia="標楷體"/>
        </w:rPr>
        <w:t xml:space="preserve"> The Task Force shall be composed of seven reviewers appointed by the President at the recommendation of the convener of the Committee. The seven reviewers shall elect a convener from among themselves for the Task Force. Each reviewer shall serve a one-year term. Reviewers shall be bound by confidentiality obligations and shall recuse themselves if they have a direct or indirect conflict of interest. If a member of the Task Force is a party or related party to a case under review due to a conflict of interest, he/she shall recuse him/herself, and uphold the principle of confidentiality.</w:t>
      </w:r>
    </w:p>
    <w:p w:rsidR="00AD0D90" w:rsidRPr="006925D8" w:rsidRDefault="00571853" w:rsidP="004B2B5F">
      <w:pPr>
        <w:ind w:leftChars="59" w:left="992" w:hangingChars="354" w:hanging="850"/>
        <w:rPr>
          <w:rFonts w:eastAsia="標楷體"/>
        </w:rPr>
      </w:pPr>
      <w:r w:rsidRPr="006925D8">
        <w:rPr>
          <w:rFonts w:eastAsia="標楷體"/>
        </w:rPr>
        <w:t>三、</w:t>
      </w:r>
      <w:r w:rsidRPr="006925D8">
        <w:rPr>
          <w:rFonts w:eastAsia="標楷體"/>
        </w:rPr>
        <w:tab/>
      </w:r>
      <w:r w:rsidRPr="006925D8">
        <w:rPr>
          <w:rFonts w:eastAsia="標楷體"/>
        </w:rPr>
        <w:t>本原則所稱當事人，係指參與或執行本校研發成果管理及運用相關之校內外人士，包含研發成果之創作人及承辦或決行其科技移轉之人員。其關係人係指：</w:t>
      </w:r>
    </w:p>
    <w:p w:rsidR="00571853" w:rsidRPr="006925D8" w:rsidRDefault="00AD0D90" w:rsidP="004B2B5F">
      <w:pPr>
        <w:ind w:leftChars="59" w:left="992" w:hangingChars="354" w:hanging="850"/>
        <w:rPr>
          <w:rFonts w:eastAsia="標楷體"/>
        </w:rPr>
      </w:pPr>
      <w:r w:rsidRPr="006925D8">
        <w:rPr>
          <w:rFonts w:eastAsia="標楷體"/>
        </w:rPr>
        <w:t>III.</w:t>
      </w:r>
      <w:r w:rsidRPr="006925D8">
        <w:rPr>
          <w:rFonts w:eastAsia="標楷體"/>
        </w:rPr>
        <w:tab/>
        <w:t xml:space="preserve">The term “stakeholder” is used herein to refer to internal or external personnel directly involved </w:t>
      </w:r>
      <w:r w:rsidRPr="006925D8">
        <w:rPr>
          <w:rFonts w:eastAsia="標楷體"/>
        </w:rPr>
        <w:lastRenderedPageBreak/>
        <w:t>in the management and utilization of the University’s research and development outcomes, including inventors, creators, and personnel undertaking or approving technology transfers. The term “related person” shall mean any of the following:</w:t>
      </w:r>
    </w:p>
    <w:p w:rsidR="00AD0D90" w:rsidRPr="006925D8" w:rsidRDefault="00571853" w:rsidP="004B2B5F">
      <w:pPr>
        <w:ind w:leftChars="413" w:left="1843" w:hangingChars="355" w:hanging="852"/>
        <w:rPr>
          <w:rFonts w:eastAsia="標楷體"/>
        </w:rPr>
      </w:pPr>
      <w:r w:rsidRPr="006925D8">
        <w:rPr>
          <w:rFonts w:eastAsia="標楷體"/>
        </w:rPr>
        <w:t>（一）</w:t>
      </w:r>
      <w:r w:rsidRPr="006925D8">
        <w:rPr>
          <w:rFonts w:eastAsia="標楷體"/>
        </w:rPr>
        <w:tab/>
      </w:r>
      <w:r w:rsidRPr="006925D8">
        <w:rPr>
          <w:rFonts w:eastAsia="標楷體"/>
        </w:rPr>
        <w:t>當事人之配偶或共同生活之家屬。</w:t>
      </w:r>
    </w:p>
    <w:p w:rsidR="00571853" w:rsidRPr="006925D8" w:rsidRDefault="00AD0D90" w:rsidP="006925D8">
      <w:pPr>
        <w:ind w:leftChars="472" w:left="1841" w:hangingChars="295" w:hanging="708"/>
        <w:rPr>
          <w:rFonts w:eastAsia="標楷體"/>
        </w:rPr>
      </w:pPr>
      <w:r w:rsidRPr="006925D8">
        <w:rPr>
          <w:rFonts w:eastAsia="標楷體"/>
        </w:rPr>
        <w:t>(I)</w:t>
      </w:r>
      <w:r w:rsidRPr="006925D8">
        <w:rPr>
          <w:rFonts w:eastAsia="標楷體"/>
        </w:rPr>
        <w:tab/>
        <w:t>A stakeholder’s spouse or co-habiting family members.</w:t>
      </w:r>
    </w:p>
    <w:p w:rsidR="00AD0D90" w:rsidRPr="006925D8" w:rsidRDefault="00571853" w:rsidP="004B2B5F">
      <w:pPr>
        <w:ind w:leftChars="413" w:left="1843" w:hangingChars="355" w:hanging="852"/>
        <w:rPr>
          <w:rFonts w:eastAsia="標楷體"/>
        </w:rPr>
      </w:pPr>
      <w:r w:rsidRPr="006925D8">
        <w:rPr>
          <w:rFonts w:eastAsia="標楷體"/>
        </w:rPr>
        <w:t>（二）</w:t>
      </w:r>
      <w:r w:rsidRPr="006925D8">
        <w:rPr>
          <w:rFonts w:eastAsia="標楷體"/>
        </w:rPr>
        <w:tab/>
      </w:r>
      <w:r w:rsidRPr="006925D8">
        <w:rPr>
          <w:rFonts w:eastAsia="標楷體"/>
        </w:rPr>
        <w:t>當事人之二親等以內親屬。</w:t>
      </w:r>
    </w:p>
    <w:p w:rsidR="00571853" w:rsidRPr="006925D8" w:rsidRDefault="00AD0D90" w:rsidP="006925D8">
      <w:pPr>
        <w:ind w:leftChars="472" w:left="1841" w:hangingChars="295" w:hanging="708"/>
        <w:rPr>
          <w:rFonts w:eastAsia="標楷體"/>
        </w:rPr>
      </w:pPr>
      <w:r w:rsidRPr="006925D8">
        <w:rPr>
          <w:rFonts w:eastAsia="標楷體"/>
        </w:rPr>
        <w:t>(II)</w:t>
      </w:r>
      <w:r w:rsidRPr="006925D8">
        <w:rPr>
          <w:rFonts w:eastAsia="標楷體"/>
        </w:rPr>
        <w:tab/>
        <w:t>A relative within the second degree of kinship to a stakeholder.</w:t>
      </w:r>
    </w:p>
    <w:p w:rsidR="00AD0D90" w:rsidRPr="006925D8" w:rsidRDefault="00571853" w:rsidP="004B2B5F">
      <w:pPr>
        <w:ind w:leftChars="413" w:left="1843" w:hangingChars="355" w:hanging="852"/>
        <w:rPr>
          <w:rFonts w:eastAsia="標楷體"/>
        </w:rPr>
      </w:pPr>
      <w:r w:rsidRPr="006925D8">
        <w:rPr>
          <w:rFonts w:eastAsia="標楷體"/>
        </w:rPr>
        <w:t>（三）</w:t>
      </w:r>
      <w:r w:rsidRPr="006925D8">
        <w:rPr>
          <w:rFonts w:eastAsia="標楷體"/>
        </w:rPr>
        <w:tab/>
      </w:r>
      <w:r w:rsidRPr="006925D8">
        <w:rPr>
          <w:rFonts w:eastAsia="標楷體"/>
        </w:rPr>
        <w:t>當事人、第一款及第二款所列人員擔任負責人、董事、監察人或經理人之營利事業。但當事人擔任前述職務係經政府或本校指派時，應依其他法令規定辦理。</w:t>
      </w:r>
    </w:p>
    <w:p w:rsidR="00571853" w:rsidRPr="006925D8" w:rsidRDefault="00AD0D90" w:rsidP="006925D8">
      <w:pPr>
        <w:ind w:leftChars="472" w:left="1841" w:hangingChars="295" w:hanging="708"/>
        <w:rPr>
          <w:rFonts w:eastAsia="標楷體"/>
        </w:rPr>
      </w:pPr>
      <w:r w:rsidRPr="006925D8">
        <w:rPr>
          <w:rFonts w:eastAsia="標楷體"/>
        </w:rPr>
        <w:t>(III)</w:t>
      </w:r>
      <w:r w:rsidRPr="006925D8">
        <w:rPr>
          <w:rFonts w:eastAsia="標楷體"/>
        </w:rPr>
        <w:tab/>
        <w:t xml:space="preserve">Corporate entities in which a stakeholder or a related person described in the Subparagraphs 1 and 2 serves as a representative, director, supervisor, or manager. The foregoing notwithstanding, if the stakeholder is appointed by the University or the government to serve in the </w:t>
      </w:r>
      <w:proofErr w:type="gramStart"/>
      <w:r w:rsidRPr="006925D8">
        <w:rPr>
          <w:rFonts w:eastAsia="標楷體"/>
        </w:rPr>
        <w:t>aforementioned capacity</w:t>
      </w:r>
      <w:proofErr w:type="gramEnd"/>
      <w:r w:rsidRPr="006925D8">
        <w:rPr>
          <w:rFonts w:eastAsia="標楷體"/>
        </w:rPr>
        <w:t>, the relevant laws and regulations shall apply.</w:t>
      </w:r>
    </w:p>
    <w:p w:rsidR="00AD0D90" w:rsidRPr="006925D8" w:rsidRDefault="00571853" w:rsidP="004B2B5F">
      <w:pPr>
        <w:ind w:leftChars="59" w:left="992" w:hangingChars="354" w:hanging="850"/>
        <w:rPr>
          <w:rFonts w:eastAsia="標楷體"/>
        </w:rPr>
      </w:pPr>
      <w:r w:rsidRPr="006925D8">
        <w:rPr>
          <w:rFonts w:eastAsia="標楷體"/>
        </w:rPr>
        <w:t>四、</w:t>
      </w:r>
      <w:r w:rsidRPr="006925D8">
        <w:rPr>
          <w:rFonts w:eastAsia="標楷體"/>
        </w:rPr>
        <w:tab/>
      </w:r>
      <w:r w:rsidRPr="006925D8">
        <w:rPr>
          <w:rFonts w:eastAsia="標楷體"/>
        </w:rPr>
        <w:t>本原則所稱利益，包括財產上利益及非財產上利益：</w:t>
      </w:r>
    </w:p>
    <w:p w:rsidR="00571853" w:rsidRPr="006925D8" w:rsidRDefault="00AD0D90" w:rsidP="004B2B5F">
      <w:pPr>
        <w:ind w:leftChars="59" w:left="992" w:hangingChars="354" w:hanging="850"/>
        <w:rPr>
          <w:rFonts w:eastAsia="標楷體"/>
        </w:rPr>
      </w:pPr>
      <w:r w:rsidRPr="006925D8">
        <w:rPr>
          <w:rFonts w:eastAsia="標楷體"/>
        </w:rPr>
        <w:t>IV.</w:t>
      </w:r>
      <w:r w:rsidRPr="006925D8">
        <w:rPr>
          <w:rFonts w:eastAsia="標楷體"/>
        </w:rPr>
        <w:tab/>
        <w:t>The term “interest” used herein shall include both monetary and non-monetary interests:</w:t>
      </w:r>
    </w:p>
    <w:p w:rsidR="00AD0D90" w:rsidRPr="006925D8" w:rsidRDefault="00571853" w:rsidP="004B2B5F">
      <w:pPr>
        <w:ind w:leftChars="413" w:left="1843" w:hangingChars="355" w:hanging="852"/>
        <w:rPr>
          <w:rFonts w:eastAsia="標楷體"/>
        </w:rPr>
      </w:pPr>
      <w:r w:rsidRPr="006925D8">
        <w:rPr>
          <w:rFonts w:eastAsia="標楷體"/>
        </w:rPr>
        <w:t>（一）</w:t>
      </w:r>
      <w:r w:rsidRPr="006925D8">
        <w:rPr>
          <w:rFonts w:eastAsia="標楷體"/>
        </w:rPr>
        <w:tab/>
      </w:r>
      <w:r w:rsidRPr="006925D8">
        <w:rPr>
          <w:rFonts w:eastAsia="標楷體"/>
        </w:rPr>
        <w:t>財產上利益：動產、不動產、現金、存款、外幣、有價證券、債權或其他財產上權利與其他具有經濟價值或得以金錢交易取得之利益。</w:t>
      </w:r>
    </w:p>
    <w:p w:rsidR="00571853" w:rsidRPr="006925D8" w:rsidRDefault="00AD0D90" w:rsidP="006925D8">
      <w:pPr>
        <w:ind w:leftChars="472" w:left="1841" w:hangingChars="295" w:hanging="708"/>
        <w:rPr>
          <w:rFonts w:eastAsia="標楷體"/>
        </w:rPr>
      </w:pPr>
      <w:r w:rsidRPr="006925D8">
        <w:rPr>
          <w:rFonts w:eastAsia="標楷體"/>
        </w:rPr>
        <w:t>(I)</w:t>
      </w:r>
      <w:r w:rsidRPr="006925D8">
        <w:rPr>
          <w:rFonts w:eastAsia="標楷體"/>
        </w:rPr>
        <w:tab/>
        <w:t>Monetary interest: Movable assets, immovable assets, cash, bank deposits, foreign currencies, negotiable securities, bonds, or other monetary rights or instruments with an economic value or obtained through monetary transactions.</w:t>
      </w:r>
    </w:p>
    <w:p w:rsidR="00AD0D90" w:rsidRPr="006925D8" w:rsidRDefault="00571853" w:rsidP="004B2B5F">
      <w:pPr>
        <w:ind w:leftChars="413" w:left="1843" w:hangingChars="355" w:hanging="852"/>
        <w:rPr>
          <w:rFonts w:eastAsia="標楷體"/>
        </w:rPr>
      </w:pPr>
      <w:r w:rsidRPr="006925D8">
        <w:rPr>
          <w:rFonts w:eastAsia="標楷體"/>
        </w:rPr>
        <w:t>（二）</w:t>
      </w:r>
      <w:r w:rsidRPr="006925D8">
        <w:rPr>
          <w:rFonts w:eastAsia="標楷體"/>
        </w:rPr>
        <w:tab/>
      </w:r>
      <w:r w:rsidRPr="006925D8">
        <w:rPr>
          <w:rFonts w:eastAsia="標楷體"/>
        </w:rPr>
        <w:t>非財產上利益：係指有利執行業務同仁或其關係人於本校或其他機關</w:t>
      </w:r>
      <w:r w:rsidRPr="006925D8">
        <w:rPr>
          <w:rFonts w:eastAsia="標楷體"/>
        </w:rPr>
        <w:t>(</w:t>
      </w:r>
      <w:r w:rsidRPr="006925D8">
        <w:rPr>
          <w:rFonts w:eastAsia="標楷體"/>
        </w:rPr>
        <w:t>構</w:t>
      </w:r>
      <w:r w:rsidRPr="006925D8">
        <w:rPr>
          <w:rFonts w:eastAsia="標楷體"/>
        </w:rPr>
        <w:t>)</w:t>
      </w:r>
      <w:r w:rsidRPr="006925D8">
        <w:rPr>
          <w:rFonts w:eastAsia="標楷體"/>
        </w:rPr>
        <w:t>之任用、</w:t>
      </w:r>
      <w:proofErr w:type="gramStart"/>
      <w:r w:rsidRPr="006925D8">
        <w:rPr>
          <w:rFonts w:eastAsia="標楷體"/>
        </w:rPr>
        <w:t>陞</w:t>
      </w:r>
      <w:proofErr w:type="gramEnd"/>
      <w:r w:rsidRPr="006925D8">
        <w:rPr>
          <w:rFonts w:eastAsia="標楷體"/>
        </w:rPr>
        <w:t>遷、調動及其他人事措施。</w:t>
      </w:r>
    </w:p>
    <w:p w:rsidR="00571853" w:rsidRPr="006925D8" w:rsidRDefault="00AD0D90" w:rsidP="006925D8">
      <w:pPr>
        <w:ind w:leftChars="472" w:left="1841" w:hangingChars="295" w:hanging="708"/>
        <w:rPr>
          <w:rFonts w:eastAsia="標楷體"/>
        </w:rPr>
      </w:pPr>
      <w:r w:rsidRPr="006925D8">
        <w:rPr>
          <w:rFonts w:eastAsia="標楷體"/>
        </w:rPr>
        <w:t>(II)</w:t>
      </w:r>
      <w:r w:rsidRPr="006925D8">
        <w:rPr>
          <w:rFonts w:eastAsia="標楷體"/>
        </w:rPr>
        <w:tab/>
        <w:t>Non-monetary interest: Personnel decisions made by the University or another agency/institution that are beneficial to the stakeholder or related person, such as appointments, promotions, or transfers.</w:t>
      </w:r>
    </w:p>
    <w:p w:rsidR="00AD0D90" w:rsidRPr="006925D8" w:rsidRDefault="00571853" w:rsidP="004B2B5F">
      <w:pPr>
        <w:pStyle w:val="a3"/>
        <w:kinsoku w:val="0"/>
        <w:overflowPunct w:val="0"/>
        <w:spacing w:line="275" w:lineRule="auto"/>
        <w:ind w:left="993" w:hanging="1"/>
        <w:rPr>
          <w:rFonts w:ascii="Times New Roman" w:cs="Times New Roman"/>
        </w:rPr>
      </w:pPr>
      <w:r w:rsidRPr="006925D8">
        <w:rPr>
          <w:rFonts w:ascii="Times New Roman" w:cs="Times New Roman"/>
        </w:rPr>
        <w:t>本原則所稱利益衝突：係指當事人執行研發成果管理及運用業務時，因其作為或不作為，而直接或間接使本人或其關係人獲取利益者。</w:t>
      </w:r>
    </w:p>
    <w:p w:rsidR="00571853" w:rsidRPr="006925D8" w:rsidRDefault="00AD0D90" w:rsidP="004B2B5F">
      <w:pPr>
        <w:pStyle w:val="a3"/>
        <w:kinsoku w:val="0"/>
        <w:overflowPunct w:val="0"/>
        <w:spacing w:line="275" w:lineRule="auto"/>
        <w:ind w:left="993" w:hanging="1"/>
        <w:rPr>
          <w:rFonts w:ascii="Times New Roman" w:cs="Times New Roman"/>
        </w:rPr>
      </w:pPr>
      <w:r w:rsidRPr="006925D8">
        <w:rPr>
          <w:rFonts w:ascii="Times New Roman" w:cs="Times New Roman"/>
        </w:rPr>
        <w:t>The term “conflict of interest” is used herein to refer to a stakeholder’s action or inaction over the course of their management or utilization of research and development outcomes that benefits or might benefit the stakeholder or related persons, whether directly or indirectly.</w:t>
      </w:r>
    </w:p>
    <w:p w:rsidR="00AD0D90" w:rsidRPr="006925D8" w:rsidRDefault="00571853" w:rsidP="004B2B5F">
      <w:pPr>
        <w:ind w:leftChars="59" w:left="992" w:hangingChars="354" w:hanging="850"/>
        <w:rPr>
          <w:rFonts w:eastAsia="標楷體"/>
        </w:rPr>
      </w:pPr>
      <w:r w:rsidRPr="006925D8">
        <w:rPr>
          <w:rFonts w:eastAsia="標楷體"/>
        </w:rPr>
        <w:t>五、</w:t>
      </w:r>
      <w:r w:rsidRPr="006925D8">
        <w:rPr>
          <w:rFonts w:eastAsia="標楷體"/>
        </w:rPr>
        <w:tab/>
      </w:r>
      <w:r w:rsidRPr="006925D8">
        <w:rPr>
          <w:rFonts w:eastAsia="標楷體"/>
        </w:rPr>
        <w:t>當事人及其關係人不得因執行本校研發成果管理及運用業務，收受或獲取利益，致本校遭受財產及名譽上之損失。除法令另有規定，當事人或其關係人不得將本校研發成果自行提供業者或參與籌設營利事業。研發成果創作人應迴避其研發成果管理或運用案件之審核或決議，但得參與研發成果之推廣、洽談。</w:t>
      </w:r>
    </w:p>
    <w:p w:rsidR="00571853" w:rsidRPr="006925D8" w:rsidRDefault="00AD0D90" w:rsidP="004B2B5F">
      <w:pPr>
        <w:ind w:leftChars="59" w:left="992" w:hangingChars="354" w:hanging="850"/>
        <w:rPr>
          <w:rFonts w:eastAsia="標楷體"/>
        </w:rPr>
      </w:pPr>
      <w:r w:rsidRPr="006925D8">
        <w:rPr>
          <w:rFonts w:eastAsia="標楷體"/>
        </w:rPr>
        <w:t>V.</w:t>
      </w:r>
      <w:r w:rsidRPr="006925D8">
        <w:rPr>
          <w:rFonts w:eastAsia="標楷體"/>
        </w:rPr>
        <w:tab/>
        <w:t>To prevent damage to the University’s property and reputation, persons involved in or related to the management and utilization of the University’s research and development outcomes are prohibited from requesting or receiving any preferential interests. Unless otherwise permitted by law, stakeholders and their related persons are prohibited from divulging the University’s research and development outcomes to a third-party company or being personally involved in the establishment of a for-profit business. Inventors/creators shall recuse themselves from the review of or any decisions pertaining to the management and utilization of their own research and development outcomes. However, they may be involved in the promotion and negotiation process.</w:t>
      </w:r>
    </w:p>
    <w:p w:rsidR="00AD0D90" w:rsidRPr="006925D8" w:rsidRDefault="00571853" w:rsidP="004B2B5F">
      <w:pPr>
        <w:ind w:leftChars="59" w:left="992" w:hangingChars="354" w:hanging="850"/>
        <w:rPr>
          <w:rFonts w:eastAsia="標楷體"/>
        </w:rPr>
      </w:pPr>
      <w:r w:rsidRPr="006925D8">
        <w:rPr>
          <w:rFonts w:eastAsia="標楷體"/>
        </w:rPr>
        <w:t>六、</w:t>
      </w:r>
      <w:r w:rsidRPr="006925D8">
        <w:rPr>
          <w:rFonts w:eastAsia="標楷體"/>
        </w:rPr>
        <w:tab/>
      </w:r>
      <w:r w:rsidRPr="006925D8">
        <w:rPr>
          <w:rFonts w:eastAsia="標楷體"/>
        </w:rPr>
        <w:t>研發成果創作人應依本校規定，主動揭露與擬授權或讓與研發成果之營利事業間，有無下列利益關係；約定於授權或讓與研發成果後取得者亦同：</w:t>
      </w:r>
    </w:p>
    <w:p w:rsidR="004B2B5F" w:rsidRPr="006925D8" w:rsidRDefault="00AD0D90" w:rsidP="004B2B5F">
      <w:pPr>
        <w:ind w:leftChars="59" w:left="992" w:hangingChars="354" w:hanging="850"/>
        <w:rPr>
          <w:rFonts w:eastAsia="標楷體"/>
        </w:rPr>
      </w:pPr>
      <w:r w:rsidRPr="006925D8">
        <w:rPr>
          <w:rFonts w:eastAsia="標楷體"/>
        </w:rPr>
        <w:t>VI.</w:t>
      </w:r>
      <w:r w:rsidRPr="006925D8">
        <w:rPr>
          <w:rFonts w:eastAsia="標楷體"/>
        </w:rPr>
        <w:tab/>
      </w:r>
      <w:r w:rsidR="00440397" w:rsidRPr="00440397">
        <w:rPr>
          <w:rFonts w:eastAsia="標楷體"/>
        </w:rPr>
        <w:t>Pursuant to the University’s regulations, the inventors/creators of R&amp;D outcomes shall proactively disclose any of the following conflicts of interest in a licensing agreement or technology transfer project with the target for-profit entity.</w:t>
      </w:r>
      <w:r w:rsidRPr="006925D8">
        <w:rPr>
          <w:rFonts w:eastAsia="標楷體"/>
        </w:rPr>
        <w:t xml:space="preserve"> The same shall apply to agreements to license or transfer R&amp;D results:</w:t>
      </w:r>
    </w:p>
    <w:p w:rsidR="00AD0D90" w:rsidRPr="006925D8" w:rsidRDefault="00571853" w:rsidP="004B2B5F">
      <w:pPr>
        <w:ind w:leftChars="413" w:left="1843" w:hangingChars="355" w:hanging="852"/>
        <w:rPr>
          <w:rFonts w:eastAsia="標楷體"/>
        </w:rPr>
      </w:pPr>
      <w:r w:rsidRPr="006925D8">
        <w:rPr>
          <w:rFonts w:eastAsia="標楷體"/>
        </w:rPr>
        <w:t>(</w:t>
      </w:r>
      <w:proofErr w:type="gramStart"/>
      <w:r w:rsidRPr="006925D8">
        <w:rPr>
          <w:rFonts w:eastAsia="標楷體"/>
        </w:rPr>
        <w:t>一</w:t>
      </w:r>
      <w:proofErr w:type="gramEnd"/>
      <w:r w:rsidRPr="006925D8">
        <w:rPr>
          <w:rFonts w:eastAsia="標楷體"/>
        </w:rPr>
        <w:t>)</w:t>
      </w:r>
      <w:r w:rsidRPr="006925D8">
        <w:rPr>
          <w:rFonts w:eastAsia="標楷體"/>
        </w:rPr>
        <w:tab/>
      </w:r>
      <w:r w:rsidRPr="006925D8">
        <w:rPr>
          <w:rFonts w:eastAsia="標楷體"/>
        </w:rPr>
        <w:t>本人及其配偶、未成年子女前一年內自該營利事業獲得合計超過新臺幣十五萬元之財產上利益，或持有該營利事業百分之五以上之股權。</w:t>
      </w:r>
    </w:p>
    <w:p w:rsidR="00571853" w:rsidRPr="006925D8" w:rsidRDefault="00AD0D90" w:rsidP="004B2B5F">
      <w:pPr>
        <w:ind w:leftChars="413" w:left="1843" w:hangingChars="355" w:hanging="852"/>
        <w:rPr>
          <w:rFonts w:eastAsia="標楷體"/>
        </w:rPr>
      </w:pPr>
      <w:r w:rsidRPr="006925D8">
        <w:rPr>
          <w:rFonts w:eastAsia="標楷體"/>
        </w:rPr>
        <w:lastRenderedPageBreak/>
        <w:t>(I)</w:t>
      </w:r>
      <w:r w:rsidRPr="006925D8">
        <w:rPr>
          <w:rFonts w:eastAsia="標楷體"/>
        </w:rPr>
        <w:tab/>
        <w:t>They and/or their spouse and/or minor child(</w:t>
      </w:r>
      <w:proofErr w:type="spellStart"/>
      <w:r w:rsidRPr="006925D8">
        <w:rPr>
          <w:rFonts w:eastAsia="標楷體"/>
        </w:rPr>
        <w:t>ren</w:t>
      </w:r>
      <w:proofErr w:type="spellEnd"/>
      <w:r w:rsidRPr="006925D8">
        <w:rPr>
          <w:rFonts w:eastAsia="標楷體"/>
        </w:rPr>
        <w:t xml:space="preserve">) have/has received a combined total of more than NT$150,000 in monetary interests from the for-profit entity in the preceding </w:t>
      </w:r>
      <w:proofErr w:type="gramStart"/>
      <w:r w:rsidRPr="006925D8">
        <w:rPr>
          <w:rFonts w:eastAsia="標楷體"/>
        </w:rPr>
        <w:t>year, or</w:t>
      </w:r>
      <w:proofErr w:type="gramEnd"/>
      <w:r w:rsidRPr="006925D8">
        <w:rPr>
          <w:rFonts w:eastAsia="標楷體"/>
        </w:rPr>
        <w:t xml:space="preserve"> are/is or have/has been a shareholder of the entity with an equity ratio of 5% or more.</w:t>
      </w:r>
    </w:p>
    <w:p w:rsidR="00AD0D90" w:rsidRPr="006925D8" w:rsidRDefault="00571853" w:rsidP="004B2B5F">
      <w:pPr>
        <w:ind w:leftChars="413" w:left="1843" w:hangingChars="355" w:hanging="852"/>
        <w:rPr>
          <w:rFonts w:eastAsia="標楷體"/>
        </w:rPr>
      </w:pPr>
      <w:r w:rsidRPr="006925D8">
        <w:rPr>
          <w:rFonts w:eastAsia="標楷體"/>
        </w:rPr>
        <w:t>(</w:t>
      </w:r>
      <w:r w:rsidRPr="006925D8">
        <w:rPr>
          <w:rFonts w:eastAsia="標楷體"/>
        </w:rPr>
        <w:t>二</w:t>
      </w:r>
      <w:r w:rsidRPr="006925D8">
        <w:rPr>
          <w:rFonts w:eastAsia="標楷體"/>
        </w:rPr>
        <w:t>)</w:t>
      </w:r>
      <w:r w:rsidRPr="006925D8">
        <w:rPr>
          <w:rFonts w:eastAsia="標楷體"/>
        </w:rPr>
        <w:tab/>
      </w:r>
      <w:r w:rsidRPr="006925D8">
        <w:rPr>
          <w:rFonts w:eastAsia="標楷體"/>
        </w:rPr>
        <w:t>本人及其配偶、子女、父母、祖父母、孫子女或兄弟姊妹擔任該營利事業負責人、董事、監察人或經理人之職務。</w:t>
      </w:r>
    </w:p>
    <w:p w:rsidR="00571853" w:rsidRPr="006925D8" w:rsidRDefault="00AD0D90" w:rsidP="004B2B5F">
      <w:pPr>
        <w:ind w:leftChars="413" w:left="1843" w:hangingChars="355" w:hanging="852"/>
        <w:rPr>
          <w:rFonts w:eastAsia="標楷體"/>
        </w:rPr>
      </w:pPr>
      <w:r w:rsidRPr="006925D8">
        <w:rPr>
          <w:rFonts w:eastAsia="標楷體"/>
        </w:rPr>
        <w:t>(II)</w:t>
      </w:r>
      <w:r w:rsidRPr="006925D8">
        <w:rPr>
          <w:rFonts w:eastAsia="標楷體"/>
        </w:rPr>
        <w:tab/>
        <w:t>They and/or their spouse, child, parent, grandparent, grandchild, and/or sibling are/is a representative, director, supervisor, or manager of the for-profit entity.</w:t>
      </w:r>
    </w:p>
    <w:p w:rsidR="00AD0D90" w:rsidRPr="006925D8" w:rsidRDefault="00571853" w:rsidP="004B2B5F">
      <w:pPr>
        <w:ind w:leftChars="59" w:left="992" w:hangingChars="354" w:hanging="850"/>
        <w:rPr>
          <w:rFonts w:eastAsia="標楷體"/>
        </w:rPr>
      </w:pPr>
      <w:r w:rsidRPr="006925D8">
        <w:rPr>
          <w:rFonts w:eastAsia="標楷體"/>
        </w:rPr>
        <w:t>七、</w:t>
      </w:r>
      <w:r w:rsidRPr="006925D8">
        <w:rPr>
          <w:rFonts w:eastAsia="標楷體"/>
        </w:rPr>
        <w:tab/>
      </w:r>
      <w:r w:rsidRPr="006925D8">
        <w:rPr>
          <w:rFonts w:eastAsia="標楷體"/>
        </w:rPr>
        <w:t>簽辦、審議</w:t>
      </w:r>
      <w:proofErr w:type="gramStart"/>
      <w:r w:rsidRPr="006925D8">
        <w:rPr>
          <w:rFonts w:eastAsia="標楷體"/>
        </w:rPr>
        <w:t>或核決研發</w:t>
      </w:r>
      <w:proofErr w:type="gramEnd"/>
      <w:r w:rsidRPr="006925D8">
        <w:rPr>
          <w:rFonts w:eastAsia="標楷體"/>
        </w:rPr>
        <w:t>成果管理或運用案件之人員，與被授權或讓與研發成果之營利</w:t>
      </w:r>
      <w:proofErr w:type="gramStart"/>
      <w:r w:rsidRPr="006925D8">
        <w:rPr>
          <w:rFonts w:eastAsia="標楷體"/>
        </w:rPr>
        <w:t>事業間有下</w:t>
      </w:r>
      <w:proofErr w:type="gramEnd"/>
      <w:r w:rsidRPr="006925D8">
        <w:rPr>
          <w:rFonts w:eastAsia="標楷體"/>
        </w:rPr>
        <w:t>列利益關係者，應自行迴避：</w:t>
      </w:r>
    </w:p>
    <w:p w:rsidR="004B2B5F" w:rsidRPr="006925D8" w:rsidRDefault="00AD0D90" w:rsidP="004B2B5F">
      <w:pPr>
        <w:ind w:leftChars="59" w:left="992" w:hangingChars="354" w:hanging="850"/>
        <w:rPr>
          <w:rFonts w:eastAsia="標楷體"/>
        </w:rPr>
      </w:pPr>
      <w:r w:rsidRPr="006925D8">
        <w:rPr>
          <w:rFonts w:eastAsia="標楷體"/>
        </w:rPr>
        <w:t>VII.</w:t>
      </w:r>
      <w:r w:rsidRPr="006925D8">
        <w:rPr>
          <w:rFonts w:eastAsia="標楷體"/>
        </w:rPr>
        <w:tab/>
      </w:r>
      <w:proofErr w:type="gramStart"/>
      <w:r w:rsidRPr="006925D8">
        <w:rPr>
          <w:rFonts w:eastAsia="標楷體"/>
        </w:rPr>
        <w:t>In the event that</w:t>
      </w:r>
      <w:proofErr w:type="gramEnd"/>
      <w:r w:rsidRPr="006925D8">
        <w:rPr>
          <w:rFonts w:eastAsia="標楷體"/>
        </w:rPr>
        <w:t xml:space="preserve"> the personnel who sign off, review, or approve the management and use of R&amp;D results have the following conflict of interest with the profit-seeking enterprise being licensed or transferred R&amp;D results, the personnel shall avoid the conflict of interest:</w:t>
      </w:r>
    </w:p>
    <w:p w:rsidR="00AD0D90" w:rsidRPr="006925D8" w:rsidRDefault="00571853" w:rsidP="004B2B5F">
      <w:pPr>
        <w:ind w:leftChars="413" w:left="1843" w:hangingChars="355" w:hanging="852"/>
        <w:rPr>
          <w:rFonts w:eastAsia="標楷體"/>
        </w:rPr>
      </w:pPr>
      <w:r w:rsidRPr="006925D8">
        <w:rPr>
          <w:rFonts w:eastAsia="標楷體"/>
        </w:rPr>
        <w:t>(</w:t>
      </w:r>
      <w:proofErr w:type="gramStart"/>
      <w:r w:rsidRPr="006925D8">
        <w:rPr>
          <w:rFonts w:eastAsia="標楷體"/>
        </w:rPr>
        <w:t>一</w:t>
      </w:r>
      <w:proofErr w:type="gramEnd"/>
      <w:r w:rsidRPr="006925D8">
        <w:rPr>
          <w:rFonts w:eastAsia="標楷體"/>
        </w:rPr>
        <w:t>)</w:t>
      </w:r>
      <w:r w:rsidRPr="006925D8">
        <w:rPr>
          <w:rFonts w:eastAsia="標楷體"/>
        </w:rPr>
        <w:tab/>
      </w:r>
      <w:r w:rsidRPr="006925D8">
        <w:rPr>
          <w:rFonts w:eastAsia="標楷體"/>
        </w:rPr>
        <w:t>本人及其配偶、未成年子女前一年內自該營利事業獲得合計超過新臺幣十五萬元之財產上利益，或持有該營利事業百分之五以上之股權。</w:t>
      </w:r>
    </w:p>
    <w:p w:rsidR="00571853" w:rsidRPr="006925D8" w:rsidRDefault="00AD0D90" w:rsidP="004B2B5F">
      <w:pPr>
        <w:ind w:leftChars="413" w:left="1843" w:hangingChars="355" w:hanging="852"/>
        <w:rPr>
          <w:rFonts w:eastAsia="標楷體"/>
        </w:rPr>
      </w:pPr>
      <w:r w:rsidRPr="006925D8">
        <w:rPr>
          <w:rFonts w:eastAsia="標楷體"/>
        </w:rPr>
        <w:t>(I)</w:t>
      </w:r>
      <w:r w:rsidRPr="006925D8">
        <w:rPr>
          <w:rFonts w:eastAsia="標楷體"/>
        </w:rPr>
        <w:tab/>
        <w:t>They and/or their spouse and/or minor child(</w:t>
      </w:r>
      <w:proofErr w:type="spellStart"/>
      <w:r w:rsidRPr="006925D8">
        <w:rPr>
          <w:rFonts w:eastAsia="標楷體"/>
        </w:rPr>
        <w:t>ren</w:t>
      </w:r>
      <w:proofErr w:type="spellEnd"/>
      <w:r w:rsidRPr="006925D8">
        <w:rPr>
          <w:rFonts w:eastAsia="標楷體"/>
        </w:rPr>
        <w:t xml:space="preserve">) have/has received a combined total of more than NT$150,000 in monetary interests from the for-profit entity in the preceding </w:t>
      </w:r>
      <w:proofErr w:type="gramStart"/>
      <w:r w:rsidRPr="006925D8">
        <w:rPr>
          <w:rFonts w:eastAsia="標楷體"/>
        </w:rPr>
        <w:t>year, or</w:t>
      </w:r>
      <w:proofErr w:type="gramEnd"/>
      <w:r w:rsidRPr="006925D8">
        <w:rPr>
          <w:rFonts w:eastAsia="標楷體"/>
        </w:rPr>
        <w:t xml:space="preserve"> are/is or have/has been a shareholder of the entity with an equity ratio of 5% or more.</w:t>
      </w:r>
    </w:p>
    <w:p w:rsidR="00AD0D90" w:rsidRPr="006925D8" w:rsidRDefault="00571853" w:rsidP="004B2B5F">
      <w:pPr>
        <w:ind w:leftChars="413" w:left="1843" w:hangingChars="355" w:hanging="852"/>
        <w:rPr>
          <w:rFonts w:eastAsia="標楷體"/>
        </w:rPr>
      </w:pPr>
      <w:r w:rsidRPr="006925D8">
        <w:rPr>
          <w:rFonts w:eastAsia="標楷體"/>
        </w:rPr>
        <w:t>(</w:t>
      </w:r>
      <w:r w:rsidRPr="006925D8">
        <w:rPr>
          <w:rFonts w:eastAsia="標楷體"/>
        </w:rPr>
        <w:t>二</w:t>
      </w:r>
      <w:r w:rsidRPr="006925D8">
        <w:rPr>
          <w:rFonts w:eastAsia="標楷體"/>
        </w:rPr>
        <w:t>)</w:t>
      </w:r>
      <w:r w:rsidRPr="006925D8">
        <w:rPr>
          <w:rFonts w:eastAsia="標楷體"/>
        </w:rPr>
        <w:tab/>
      </w:r>
      <w:r w:rsidRPr="006925D8">
        <w:rPr>
          <w:rFonts w:eastAsia="標楷體"/>
        </w:rPr>
        <w:t>本人及其配偶、子女、父母、祖父母、孫子女或兄弟姊妹擔任該營利事業負責人、董事、監察人或經理人之職務。</w:t>
      </w:r>
    </w:p>
    <w:p w:rsidR="00571853" w:rsidRPr="006925D8" w:rsidRDefault="00AD0D90" w:rsidP="004B2B5F">
      <w:pPr>
        <w:ind w:leftChars="413" w:left="1843" w:hangingChars="355" w:hanging="852"/>
        <w:rPr>
          <w:rFonts w:eastAsia="標楷體"/>
        </w:rPr>
      </w:pPr>
      <w:r w:rsidRPr="006925D8">
        <w:rPr>
          <w:rFonts w:eastAsia="標楷體"/>
        </w:rPr>
        <w:t>(II)</w:t>
      </w:r>
      <w:r w:rsidRPr="006925D8">
        <w:rPr>
          <w:rFonts w:eastAsia="標楷體"/>
        </w:rPr>
        <w:tab/>
        <w:t>They and/or their spouse, child, parent, grandparent, grandchild, and/or sibling are/is a representative, director, supervisor, or manager of the for-profit entity.</w:t>
      </w:r>
    </w:p>
    <w:p w:rsidR="00AD0D90" w:rsidRPr="006925D8" w:rsidRDefault="00571853" w:rsidP="004B2B5F">
      <w:pPr>
        <w:ind w:leftChars="59" w:left="992" w:hangingChars="354" w:hanging="850"/>
        <w:rPr>
          <w:rFonts w:eastAsia="標楷體"/>
        </w:rPr>
      </w:pPr>
      <w:r w:rsidRPr="006925D8">
        <w:rPr>
          <w:rFonts w:eastAsia="標楷體"/>
        </w:rPr>
        <w:t>八、</w:t>
      </w:r>
      <w:r w:rsidRPr="006925D8">
        <w:rPr>
          <w:rFonts w:eastAsia="標楷體"/>
        </w:rPr>
        <w:tab/>
      </w:r>
      <w:r w:rsidRPr="006925D8">
        <w:rPr>
          <w:rFonts w:eastAsia="標楷體"/>
        </w:rPr>
        <w:t>審議委員會知悉當事人或其關係人，有應自行迴避之情事而未迴避者，</w:t>
      </w:r>
      <w:proofErr w:type="gramStart"/>
      <w:r w:rsidRPr="006925D8">
        <w:rPr>
          <w:rFonts w:eastAsia="標楷體"/>
        </w:rPr>
        <w:t>應命其</w:t>
      </w:r>
      <w:proofErr w:type="gramEnd"/>
      <w:r w:rsidRPr="006925D8">
        <w:rPr>
          <w:rFonts w:eastAsia="標楷體"/>
        </w:rPr>
        <w:t>迴避。有應自行迴避之情事而未迴避者，利害關係人得向審議委員會申請其迴避。</w:t>
      </w:r>
    </w:p>
    <w:p w:rsidR="00571853" w:rsidRPr="006925D8" w:rsidRDefault="00AD0D90" w:rsidP="004B2B5F">
      <w:pPr>
        <w:ind w:leftChars="59" w:left="992" w:hangingChars="354" w:hanging="850"/>
        <w:rPr>
          <w:rFonts w:eastAsia="標楷體"/>
        </w:rPr>
      </w:pPr>
      <w:r w:rsidRPr="006925D8">
        <w:rPr>
          <w:rFonts w:eastAsia="標楷體"/>
        </w:rPr>
        <w:t>VIII.</w:t>
      </w:r>
      <w:r w:rsidRPr="006925D8">
        <w:rPr>
          <w:rFonts w:eastAsia="標楷體"/>
        </w:rPr>
        <w:tab/>
        <w:t xml:space="preserve">The Task Force may move to remove a member who fails to recuse him/herself despite being a stakeholder or a related person in a case under review. Other stakeholders, in a </w:t>
      </w:r>
      <w:proofErr w:type="gramStart"/>
      <w:r w:rsidRPr="006925D8">
        <w:rPr>
          <w:rFonts w:eastAsia="標楷體"/>
        </w:rPr>
        <w:t>particular case</w:t>
      </w:r>
      <w:proofErr w:type="gramEnd"/>
      <w:r w:rsidRPr="006925D8">
        <w:rPr>
          <w:rFonts w:eastAsia="標楷體"/>
        </w:rPr>
        <w:t>, may submit a request to the Task Force to remove a member who fails to recuse him/herself due to a conflict of interest.</w:t>
      </w:r>
    </w:p>
    <w:p w:rsidR="00AD0D90" w:rsidRPr="006925D8" w:rsidRDefault="00571853" w:rsidP="004B2B5F">
      <w:pPr>
        <w:ind w:leftChars="59" w:left="992" w:hangingChars="354" w:hanging="850"/>
        <w:rPr>
          <w:rFonts w:eastAsia="標楷體"/>
        </w:rPr>
      </w:pPr>
      <w:r w:rsidRPr="006925D8">
        <w:rPr>
          <w:rFonts w:eastAsia="標楷體"/>
        </w:rPr>
        <w:t>九、</w:t>
      </w:r>
      <w:r w:rsidRPr="006925D8">
        <w:rPr>
          <w:rFonts w:eastAsia="標楷體"/>
        </w:rPr>
        <w:tab/>
      </w:r>
      <w:r w:rsidRPr="006925D8">
        <w:rPr>
          <w:rFonts w:eastAsia="標楷體"/>
        </w:rPr>
        <w:t>本校為處理利益衝突迴避及資訊揭露，每年應對本校教職員工生及研究人員辦理教育訓練、宣導或諮詢服務。</w:t>
      </w:r>
    </w:p>
    <w:p w:rsidR="00571853" w:rsidRPr="006925D8" w:rsidRDefault="00AD0D90" w:rsidP="004B2B5F">
      <w:pPr>
        <w:ind w:leftChars="59" w:left="992" w:hangingChars="354" w:hanging="850"/>
        <w:rPr>
          <w:rFonts w:eastAsia="標楷體"/>
        </w:rPr>
      </w:pPr>
      <w:r w:rsidRPr="006925D8">
        <w:rPr>
          <w:rFonts w:eastAsia="標楷體"/>
        </w:rPr>
        <w:t>IX.</w:t>
      </w:r>
      <w:r w:rsidRPr="006925D8">
        <w:rPr>
          <w:rFonts w:eastAsia="標楷體"/>
        </w:rPr>
        <w:tab/>
        <w:t>To facilitate the handling of conflict of interest recusals and disclosures, the University shall organize training workshops, promotional campaigns, and consulting services for faculty/staff members and research fellows.</w:t>
      </w:r>
    </w:p>
    <w:p w:rsidR="00AD0D90" w:rsidRPr="006925D8" w:rsidRDefault="00571853" w:rsidP="004B2B5F">
      <w:pPr>
        <w:ind w:leftChars="59" w:left="992" w:hangingChars="354" w:hanging="850"/>
        <w:rPr>
          <w:rFonts w:eastAsia="標楷體"/>
        </w:rPr>
      </w:pPr>
      <w:r w:rsidRPr="006925D8">
        <w:rPr>
          <w:rFonts w:eastAsia="標楷體"/>
        </w:rPr>
        <w:t>十、</w:t>
      </w:r>
      <w:r w:rsidRPr="006925D8">
        <w:rPr>
          <w:rFonts w:eastAsia="標楷體"/>
        </w:rPr>
        <w:tab/>
      </w:r>
      <w:r w:rsidRPr="006925D8">
        <w:rPr>
          <w:rFonts w:eastAsia="標楷體"/>
        </w:rPr>
        <w:t>利益衝突爭議案件之處理：</w:t>
      </w:r>
    </w:p>
    <w:p w:rsidR="00571853" w:rsidRPr="006925D8" w:rsidRDefault="00AD0D90" w:rsidP="004B2B5F">
      <w:pPr>
        <w:ind w:leftChars="59" w:left="992" w:hangingChars="354" w:hanging="850"/>
        <w:rPr>
          <w:rFonts w:eastAsia="標楷體"/>
        </w:rPr>
      </w:pPr>
      <w:r w:rsidRPr="006925D8">
        <w:rPr>
          <w:rFonts w:eastAsia="標楷體"/>
        </w:rPr>
        <w:t>X.</w:t>
      </w:r>
      <w:r w:rsidRPr="006925D8">
        <w:rPr>
          <w:rFonts w:eastAsia="標楷體"/>
        </w:rPr>
        <w:tab/>
        <w:t>Procedures for handling conflicts of interest:</w:t>
      </w:r>
    </w:p>
    <w:p w:rsidR="00AD0D90" w:rsidRPr="006925D8" w:rsidRDefault="00571853" w:rsidP="004B2B5F">
      <w:pPr>
        <w:ind w:leftChars="413" w:left="1843" w:hangingChars="355" w:hanging="852"/>
        <w:rPr>
          <w:rFonts w:eastAsia="標楷體"/>
        </w:rPr>
      </w:pPr>
      <w:r w:rsidRPr="006925D8">
        <w:rPr>
          <w:rFonts w:eastAsia="標楷體"/>
        </w:rPr>
        <w:t>（一）</w:t>
      </w:r>
      <w:r w:rsidRPr="006925D8">
        <w:rPr>
          <w:rFonts w:eastAsia="標楷體"/>
        </w:rPr>
        <w:tab/>
      </w:r>
      <w:r w:rsidRPr="006925D8">
        <w:rPr>
          <w:rFonts w:eastAsia="標楷體"/>
        </w:rPr>
        <w:t>本校獲知有應迴避而未迴避，或經檢舉之利益衝突案件時，應由審議委員會審議。</w:t>
      </w:r>
    </w:p>
    <w:p w:rsidR="00571853" w:rsidRPr="006925D8" w:rsidRDefault="00AD0D90" w:rsidP="006925D8">
      <w:pPr>
        <w:ind w:leftChars="472" w:left="1841" w:hangingChars="295" w:hanging="708"/>
        <w:rPr>
          <w:rFonts w:eastAsia="標楷體"/>
        </w:rPr>
      </w:pPr>
      <w:r w:rsidRPr="006925D8">
        <w:rPr>
          <w:rFonts w:eastAsia="標楷體"/>
        </w:rPr>
        <w:t>(I)</w:t>
      </w:r>
      <w:r w:rsidRPr="006925D8">
        <w:rPr>
          <w:rFonts w:eastAsia="標楷體"/>
        </w:rPr>
        <w:tab/>
        <w:t>Upon receiving a report or becoming aware of a conflict of interest where a stakeholder or a related person fails to recuse him/herself, the University shall refer the case to the Task Force for review.</w:t>
      </w:r>
    </w:p>
    <w:p w:rsidR="00AD0D90" w:rsidRPr="006925D8" w:rsidRDefault="00571853" w:rsidP="004B2B5F">
      <w:pPr>
        <w:ind w:leftChars="413" w:left="1843" w:hangingChars="355" w:hanging="852"/>
        <w:rPr>
          <w:rFonts w:eastAsia="標楷體"/>
        </w:rPr>
      </w:pPr>
      <w:r w:rsidRPr="006925D8">
        <w:rPr>
          <w:rFonts w:eastAsia="標楷體"/>
        </w:rPr>
        <w:t>（二）</w:t>
      </w:r>
      <w:r w:rsidRPr="006925D8">
        <w:rPr>
          <w:rFonts w:eastAsia="標楷體"/>
        </w:rPr>
        <w:tab/>
      </w:r>
      <w:r w:rsidRPr="006925D8">
        <w:rPr>
          <w:rFonts w:eastAsia="標楷體"/>
        </w:rPr>
        <w:t>審議委員會之調查不公開，並應通知涉案當事人說明或陳述意見。</w:t>
      </w:r>
    </w:p>
    <w:p w:rsidR="00571853" w:rsidRPr="006925D8" w:rsidRDefault="00AD0D90" w:rsidP="006925D8">
      <w:pPr>
        <w:ind w:leftChars="472" w:left="1841" w:hangingChars="295" w:hanging="708"/>
        <w:rPr>
          <w:rFonts w:eastAsia="標楷體"/>
        </w:rPr>
      </w:pPr>
      <w:r w:rsidRPr="006925D8">
        <w:rPr>
          <w:rFonts w:eastAsia="標楷體"/>
        </w:rPr>
        <w:t>(II)</w:t>
      </w:r>
      <w:r w:rsidRPr="006925D8">
        <w:rPr>
          <w:rFonts w:eastAsia="標楷體"/>
        </w:rPr>
        <w:tab/>
        <w:t xml:space="preserve">The Task Force shall conduct an investigation in </w:t>
      </w:r>
      <w:proofErr w:type="gramStart"/>
      <w:r w:rsidRPr="006925D8">
        <w:rPr>
          <w:rFonts w:eastAsia="標楷體"/>
        </w:rPr>
        <w:t>confidence, and</w:t>
      </w:r>
      <w:proofErr w:type="gramEnd"/>
      <w:r w:rsidRPr="006925D8">
        <w:rPr>
          <w:rFonts w:eastAsia="標楷體"/>
        </w:rPr>
        <w:t xml:space="preserve"> shall notify the stakeholder to give a statement.</w:t>
      </w:r>
    </w:p>
    <w:p w:rsidR="00AD0D90" w:rsidRPr="006925D8" w:rsidRDefault="00571853" w:rsidP="004B2B5F">
      <w:pPr>
        <w:ind w:leftChars="413" w:left="1843" w:hangingChars="355" w:hanging="852"/>
        <w:rPr>
          <w:rFonts w:eastAsia="標楷體"/>
        </w:rPr>
      </w:pPr>
      <w:r w:rsidRPr="006925D8">
        <w:rPr>
          <w:rFonts w:eastAsia="標楷體"/>
        </w:rPr>
        <w:t>（三）</w:t>
      </w:r>
      <w:r w:rsidRPr="006925D8">
        <w:rPr>
          <w:rFonts w:eastAsia="標楷體"/>
        </w:rPr>
        <w:tab/>
      </w:r>
      <w:r w:rsidRPr="006925D8">
        <w:rPr>
          <w:rFonts w:eastAsia="標楷體"/>
        </w:rPr>
        <w:t>調查結果呈請校長核定後，通知當事人及研發成果資助機關。如涉案當事人確有利益衝突或獲取不當利益之情事者，應一併提出本研發成果運用案之後續處理方式及對涉案當事人之處置建議。</w:t>
      </w:r>
    </w:p>
    <w:p w:rsidR="00571853" w:rsidRPr="006925D8" w:rsidRDefault="00AD0D90" w:rsidP="006925D8">
      <w:pPr>
        <w:ind w:leftChars="472" w:left="1841" w:hangingChars="295" w:hanging="708"/>
        <w:rPr>
          <w:rFonts w:eastAsia="標楷體"/>
        </w:rPr>
      </w:pPr>
      <w:r w:rsidRPr="006925D8">
        <w:rPr>
          <w:rFonts w:eastAsia="標楷體"/>
        </w:rPr>
        <w:t>(III)</w:t>
      </w:r>
      <w:r w:rsidRPr="006925D8">
        <w:rPr>
          <w:rFonts w:eastAsia="標楷體"/>
        </w:rPr>
        <w:tab/>
        <w:t xml:space="preserve">After approval by the President, the results of the investigation shall be delivered to the stakeholder and the agency/institution that commissioned the research project. If the stakeholder is found to have had a conflict of interest or received inappropriate benefits, the Task Force shall propose follow-up measures regarding the utilization of the R&amp;D </w:t>
      </w:r>
      <w:r w:rsidRPr="006925D8">
        <w:rPr>
          <w:rFonts w:eastAsia="標楷體"/>
        </w:rPr>
        <w:lastRenderedPageBreak/>
        <w:t>outcomes in question and disciplinary action against the involved person.</w:t>
      </w:r>
    </w:p>
    <w:p w:rsidR="00AD0D90" w:rsidRPr="006925D8" w:rsidRDefault="00571853" w:rsidP="004B2B5F">
      <w:pPr>
        <w:ind w:leftChars="59" w:left="992" w:hangingChars="354" w:hanging="850"/>
        <w:rPr>
          <w:rFonts w:eastAsia="標楷體"/>
        </w:rPr>
      </w:pPr>
      <w:r w:rsidRPr="006925D8">
        <w:rPr>
          <w:rFonts w:eastAsia="標楷體"/>
        </w:rPr>
        <w:t>十一、</w:t>
      </w:r>
      <w:r w:rsidRPr="006925D8">
        <w:rPr>
          <w:rFonts w:eastAsia="標楷體"/>
        </w:rPr>
        <w:tab/>
      </w:r>
      <w:r w:rsidRPr="006925D8">
        <w:rPr>
          <w:rFonts w:eastAsia="標楷體"/>
        </w:rPr>
        <w:t>申訴處理：</w:t>
      </w:r>
    </w:p>
    <w:p w:rsidR="00571853" w:rsidRPr="006925D8" w:rsidRDefault="00AD0D90" w:rsidP="004B2B5F">
      <w:pPr>
        <w:ind w:leftChars="59" w:left="992" w:hangingChars="354" w:hanging="850"/>
        <w:rPr>
          <w:rFonts w:eastAsia="標楷體"/>
        </w:rPr>
      </w:pPr>
      <w:r w:rsidRPr="006925D8">
        <w:rPr>
          <w:rFonts w:eastAsia="標楷體"/>
        </w:rPr>
        <w:t>XI.</w:t>
      </w:r>
      <w:r w:rsidRPr="006925D8">
        <w:rPr>
          <w:rFonts w:eastAsia="標楷體"/>
        </w:rPr>
        <w:tab/>
        <w:t>Handling of appeals:</w:t>
      </w:r>
    </w:p>
    <w:p w:rsidR="00AD0D90" w:rsidRPr="006925D8" w:rsidRDefault="00571853" w:rsidP="004B2B5F">
      <w:pPr>
        <w:ind w:leftChars="413" w:left="1843" w:hangingChars="355" w:hanging="852"/>
        <w:rPr>
          <w:rFonts w:eastAsia="標楷體"/>
        </w:rPr>
      </w:pPr>
      <w:r w:rsidRPr="006925D8">
        <w:rPr>
          <w:rFonts w:eastAsia="標楷體"/>
        </w:rPr>
        <w:t>（一）</w:t>
      </w:r>
      <w:r w:rsidRPr="006925D8">
        <w:rPr>
          <w:rFonts w:eastAsia="標楷體"/>
        </w:rPr>
        <w:tab/>
      </w:r>
      <w:r w:rsidRPr="006925D8">
        <w:rPr>
          <w:rFonts w:eastAsia="標楷體"/>
        </w:rPr>
        <w:t>涉案當事人對調查結果不服者，應於通知日起</w:t>
      </w:r>
      <w:r w:rsidRPr="006925D8">
        <w:rPr>
          <w:rFonts w:eastAsia="標楷體"/>
        </w:rPr>
        <w:t>15</w:t>
      </w:r>
      <w:r w:rsidRPr="006925D8">
        <w:rPr>
          <w:rFonts w:eastAsia="標楷體"/>
        </w:rPr>
        <w:t>日內，向專利技轉推動委員會提出書面申訴。</w:t>
      </w:r>
    </w:p>
    <w:p w:rsidR="00571853" w:rsidRPr="006925D8" w:rsidRDefault="00AD0D90" w:rsidP="006925D8">
      <w:pPr>
        <w:ind w:leftChars="472" w:left="1841" w:hangingChars="295" w:hanging="708"/>
        <w:rPr>
          <w:rFonts w:eastAsia="標楷體"/>
        </w:rPr>
      </w:pPr>
      <w:r w:rsidRPr="006925D8">
        <w:rPr>
          <w:rFonts w:eastAsia="標楷體"/>
        </w:rPr>
        <w:t>(I)</w:t>
      </w:r>
      <w:r w:rsidRPr="006925D8">
        <w:rPr>
          <w:rFonts w:eastAsia="標楷體"/>
        </w:rPr>
        <w:tab/>
        <w:t>A stakeholder who wishes to dispute the results of an investigation shall file an appeal in writing with the Committee within 15 days of receiving the notification.</w:t>
      </w:r>
    </w:p>
    <w:p w:rsidR="00AD0D90" w:rsidRPr="006925D8" w:rsidRDefault="00571853" w:rsidP="004B2B5F">
      <w:pPr>
        <w:ind w:leftChars="413" w:left="1843" w:hangingChars="355" w:hanging="852"/>
        <w:rPr>
          <w:rFonts w:eastAsia="標楷體"/>
        </w:rPr>
      </w:pPr>
      <w:r w:rsidRPr="006925D8">
        <w:rPr>
          <w:rFonts w:eastAsia="標楷體"/>
        </w:rPr>
        <w:t>（二）</w:t>
      </w:r>
      <w:r w:rsidRPr="006925D8">
        <w:rPr>
          <w:rFonts w:eastAsia="標楷體"/>
        </w:rPr>
        <w:tab/>
      </w:r>
      <w:r w:rsidRPr="006925D8">
        <w:rPr>
          <w:rFonts w:eastAsia="標楷體"/>
        </w:rPr>
        <w:t>專利技轉推動委員會收受申訴書後，應召開會議審議，申訴結果經陳請校長核定後，應通知申訴人。</w:t>
      </w:r>
    </w:p>
    <w:p w:rsidR="00571853" w:rsidRPr="006925D8" w:rsidRDefault="00AD0D90" w:rsidP="006925D8">
      <w:pPr>
        <w:ind w:leftChars="472" w:left="1841" w:hangingChars="295" w:hanging="708"/>
        <w:rPr>
          <w:rFonts w:eastAsia="標楷體"/>
        </w:rPr>
      </w:pPr>
      <w:r w:rsidRPr="006925D8">
        <w:rPr>
          <w:rFonts w:eastAsia="標楷體"/>
        </w:rPr>
        <w:t>(II)</w:t>
      </w:r>
      <w:r w:rsidRPr="006925D8">
        <w:rPr>
          <w:rFonts w:eastAsia="標楷體"/>
        </w:rPr>
        <w:tab/>
        <w:t>Upon receiving the appeal, the Committee shall convene a meeting to review the case and, following approval by the President, notify the appellant of their findings.</w:t>
      </w:r>
    </w:p>
    <w:p w:rsidR="00AD0D90" w:rsidRPr="006925D8" w:rsidRDefault="00571853" w:rsidP="004B2B5F">
      <w:pPr>
        <w:ind w:leftChars="59" w:left="992" w:hangingChars="354" w:hanging="850"/>
        <w:rPr>
          <w:rFonts w:eastAsia="標楷體"/>
        </w:rPr>
      </w:pPr>
      <w:r w:rsidRPr="006925D8">
        <w:rPr>
          <w:rFonts w:eastAsia="標楷體"/>
        </w:rPr>
        <w:t>十二、</w:t>
      </w:r>
      <w:r w:rsidRPr="006925D8">
        <w:rPr>
          <w:rFonts w:eastAsia="標楷體"/>
        </w:rPr>
        <w:tab/>
      </w:r>
      <w:r w:rsidRPr="006925D8">
        <w:rPr>
          <w:rFonts w:eastAsia="標楷體"/>
        </w:rPr>
        <w:t>依本原則應進行資訊揭露而未揭露或應利益迴避而未迴避，因而造成損害者，當事人應負擔因此衍生之一切損害賠償責任，並應自行依相關政府法規負擔行政與民、刑事責任。</w:t>
      </w:r>
    </w:p>
    <w:p w:rsidR="00C15CAF" w:rsidRPr="006925D8" w:rsidRDefault="00AD0D90" w:rsidP="004B2B5F">
      <w:pPr>
        <w:ind w:leftChars="59" w:left="992" w:hangingChars="354" w:hanging="850"/>
        <w:rPr>
          <w:rFonts w:eastAsia="標楷體"/>
        </w:rPr>
      </w:pPr>
      <w:r w:rsidRPr="006925D8">
        <w:rPr>
          <w:rFonts w:eastAsia="標楷體"/>
        </w:rPr>
        <w:t>XII.</w:t>
      </w:r>
      <w:r w:rsidRPr="006925D8">
        <w:rPr>
          <w:rFonts w:eastAsia="標楷體"/>
        </w:rPr>
        <w:tab/>
        <w:t>Individuals who fail to disclose a conflict of interest or recuse themselves in accordance with the provisions provided herein shall be held solely liable for all damages, as well as civil and criminal liability pursuant to the applicable government regulations, associated with their failure to do so.</w:t>
      </w:r>
    </w:p>
    <w:p w:rsidR="00AD0D90" w:rsidRPr="006925D8" w:rsidRDefault="00571853" w:rsidP="004B2B5F">
      <w:pPr>
        <w:ind w:leftChars="59" w:left="992" w:hangingChars="354" w:hanging="850"/>
        <w:rPr>
          <w:rFonts w:eastAsia="標楷體"/>
        </w:rPr>
      </w:pPr>
      <w:r w:rsidRPr="006925D8">
        <w:rPr>
          <w:rFonts w:eastAsia="標楷體"/>
        </w:rPr>
        <w:t>十三、</w:t>
      </w:r>
      <w:r w:rsidRPr="006925D8">
        <w:rPr>
          <w:rFonts w:eastAsia="標楷體"/>
        </w:rPr>
        <w:tab/>
      </w:r>
      <w:r w:rsidRPr="006925D8">
        <w:rPr>
          <w:rFonts w:eastAsia="標楷體"/>
        </w:rPr>
        <w:t>依本原則所揭露之利益衝突相關資訊，僅供審議委員審議，並依個人資料保護法予以保護。</w:t>
      </w:r>
    </w:p>
    <w:p w:rsidR="00571853" w:rsidRPr="006925D8" w:rsidRDefault="00AD0D90" w:rsidP="004B2B5F">
      <w:pPr>
        <w:ind w:leftChars="59" w:left="992" w:hangingChars="354" w:hanging="850"/>
        <w:rPr>
          <w:rFonts w:eastAsia="標楷體"/>
        </w:rPr>
      </w:pPr>
      <w:r w:rsidRPr="006925D8">
        <w:rPr>
          <w:rFonts w:eastAsia="標楷體"/>
        </w:rPr>
        <w:t>XIII.</w:t>
      </w:r>
      <w:r w:rsidRPr="006925D8">
        <w:rPr>
          <w:rFonts w:eastAsia="標楷體"/>
        </w:rPr>
        <w:tab/>
        <w:t>Conflict of interest disclosures made under the provisions herein shall only be used by the Task Force for review purposes and shall be protected in accordance with the Personal Data Protection Act.</w:t>
      </w:r>
    </w:p>
    <w:p w:rsidR="00AD0D90" w:rsidRPr="006925D8" w:rsidRDefault="00571853" w:rsidP="004B2B5F">
      <w:pPr>
        <w:ind w:leftChars="59" w:left="992" w:hangingChars="354" w:hanging="850"/>
        <w:rPr>
          <w:rFonts w:eastAsia="標楷體"/>
        </w:rPr>
      </w:pPr>
      <w:r w:rsidRPr="006925D8">
        <w:rPr>
          <w:rFonts w:eastAsia="標楷體"/>
        </w:rPr>
        <w:t>十四、</w:t>
      </w:r>
      <w:r w:rsidRPr="006925D8">
        <w:rPr>
          <w:rFonts w:eastAsia="標楷體"/>
        </w:rPr>
        <w:tab/>
      </w:r>
      <w:r w:rsidRPr="006925D8">
        <w:rPr>
          <w:rFonts w:eastAsia="標楷體"/>
        </w:rPr>
        <w:t>專利技轉推動委員會應妥善保管處理利益衝突案件所生各項文件。本原則所訂利益衝突迴避及相關資訊揭露事項，由本校進行</w:t>
      </w:r>
      <w:proofErr w:type="gramStart"/>
      <w:r w:rsidRPr="006925D8">
        <w:rPr>
          <w:rFonts w:eastAsia="標楷體"/>
        </w:rPr>
        <w:t>內部控</w:t>
      </w:r>
      <w:proofErr w:type="gramEnd"/>
      <w:r w:rsidRPr="006925D8">
        <w:rPr>
          <w:rFonts w:eastAsia="標楷體"/>
        </w:rPr>
        <w:t>管。</w:t>
      </w:r>
    </w:p>
    <w:p w:rsidR="00571853" w:rsidRPr="006925D8" w:rsidRDefault="00AD0D90" w:rsidP="004B2B5F">
      <w:pPr>
        <w:ind w:leftChars="59" w:left="992" w:hangingChars="354" w:hanging="850"/>
        <w:rPr>
          <w:rFonts w:eastAsia="標楷體"/>
        </w:rPr>
      </w:pPr>
      <w:r w:rsidRPr="006925D8">
        <w:rPr>
          <w:rFonts w:eastAsia="標楷體"/>
        </w:rPr>
        <w:t>XIV.</w:t>
      </w:r>
      <w:r w:rsidRPr="006925D8">
        <w:rPr>
          <w:rFonts w:eastAsia="標楷體"/>
        </w:rPr>
        <w:tab/>
        <w:t>The Committee shall exercise due care in safeguarding all documents related to conflicts of interest. The University shall be responsible for the internal control of the conflict of interest, recusal and disclosure requirements provided herein.</w:t>
      </w:r>
    </w:p>
    <w:p w:rsidR="00AD0D90" w:rsidRPr="006925D8" w:rsidRDefault="00571853" w:rsidP="004B2B5F">
      <w:pPr>
        <w:ind w:leftChars="59" w:left="992" w:hangingChars="354" w:hanging="850"/>
        <w:rPr>
          <w:rFonts w:eastAsia="標楷體"/>
        </w:rPr>
      </w:pPr>
      <w:r w:rsidRPr="006925D8">
        <w:rPr>
          <w:rFonts w:eastAsia="標楷體"/>
        </w:rPr>
        <w:t>十五、</w:t>
      </w:r>
      <w:r w:rsidRPr="006925D8">
        <w:rPr>
          <w:rFonts w:eastAsia="標楷體"/>
        </w:rPr>
        <w:tab/>
      </w:r>
      <w:r w:rsidRPr="006925D8">
        <w:rPr>
          <w:rFonts w:eastAsia="標楷體"/>
        </w:rPr>
        <w:t>本校利益衝突審議案件之決議，由本校專利</w:t>
      </w:r>
      <w:proofErr w:type="gramStart"/>
      <w:r w:rsidRPr="006925D8">
        <w:rPr>
          <w:rFonts w:eastAsia="標楷體"/>
        </w:rPr>
        <w:t>技轉組定期</w:t>
      </w:r>
      <w:proofErr w:type="gramEnd"/>
      <w:r w:rsidRPr="006925D8">
        <w:rPr>
          <w:rFonts w:eastAsia="標楷體"/>
        </w:rPr>
        <w:t>公告於產學研鏈結中心網頁。</w:t>
      </w:r>
    </w:p>
    <w:p w:rsidR="00C15CAF" w:rsidRPr="006925D8" w:rsidRDefault="00AD0D90" w:rsidP="004B2B5F">
      <w:pPr>
        <w:ind w:leftChars="59" w:left="992" w:hangingChars="354" w:hanging="850"/>
        <w:rPr>
          <w:rFonts w:eastAsia="標楷體"/>
        </w:rPr>
      </w:pPr>
      <w:r w:rsidRPr="006925D8">
        <w:rPr>
          <w:rFonts w:eastAsia="標楷體"/>
        </w:rPr>
        <w:t>XV.</w:t>
      </w:r>
      <w:r w:rsidRPr="006925D8">
        <w:rPr>
          <w:rFonts w:eastAsia="標楷體"/>
        </w:rPr>
        <w:tab/>
        <w:t>Resolutions of conflict of interest cases shall be published on the Academia-Industry Collaboration Center website by the Patent and Technology Transfer Division on a regular basis.</w:t>
      </w:r>
    </w:p>
    <w:p w:rsidR="00AD0D90" w:rsidRPr="006925D8" w:rsidRDefault="00571853" w:rsidP="004B2B5F">
      <w:pPr>
        <w:ind w:leftChars="59" w:left="992" w:hangingChars="354" w:hanging="850"/>
        <w:rPr>
          <w:rFonts w:eastAsia="標楷體"/>
        </w:rPr>
      </w:pPr>
      <w:r w:rsidRPr="006925D8">
        <w:rPr>
          <w:rFonts w:eastAsia="標楷體"/>
        </w:rPr>
        <w:t>十六、</w:t>
      </w:r>
      <w:r w:rsidRPr="006925D8">
        <w:rPr>
          <w:rFonts w:eastAsia="標楷體"/>
        </w:rPr>
        <w:tab/>
      </w:r>
      <w:r w:rsidRPr="006925D8">
        <w:rPr>
          <w:rFonts w:eastAsia="標楷體"/>
        </w:rPr>
        <w:t>本原則經本校專利技轉推動委員會審議，提送校務會議通過後實施，修訂時亦同。</w:t>
      </w:r>
    </w:p>
    <w:p w:rsidR="00571853" w:rsidRPr="006925D8" w:rsidRDefault="00AD0D90" w:rsidP="004B2B5F">
      <w:pPr>
        <w:ind w:leftChars="59" w:left="992" w:hangingChars="354" w:hanging="850"/>
        <w:rPr>
          <w:rFonts w:eastAsia="標楷體"/>
        </w:rPr>
      </w:pPr>
      <w:r w:rsidRPr="006925D8">
        <w:rPr>
          <w:rFonts w:eastAsia="標楷體"/>
        </w:rPr>
        <w:t>XVI.</w:t>
      </w:r>
      <w:r w:rsidRPr="006925D8">
        <w:rPr>
          <w:rFonts w:eastAsia="標楷體"/>
        </w:rPr>
        <w:tab/>
      </w:r>
      <w:r w:rsidR="00440397" w:rsidRPr="00440397">
        <w:rPr>
          <w:rFonts w:eastAsia="標楷體"/>
        </w:rPr>
        <w:t>These Principles and any amendments made hereto shall be implemented upon review by the Committee and approval by the University Council Meeting.</w:t>
      </w:r>
    </w:p>
    <w:sectPr w:rsidR="00571853" w:rsidRPr="006925D8">
      <w:headerReference w:type="even" r:id="rId6"/>
      <w:headerReference w:type="default" r:id="rId7"/>
      <w:footerReference w:type="even" r:id="rId8"/>
      <w:footerReference w:type="default" r:id="rId9"/>
      <w:headerReference w:type="first" r:id="rId10"/>
      <w:footerReference w:type="first" r:id="rId11"/>
      <w:pgSz w:w="11910" w:h="16840"/>
      <w:pgMar w:top="820" w:right="740" w:bottom="1020" w:left="740" w:header="0" w:footer="829" w:gutter="0"/>
      <w:cols w:space="720" w:equalWidth="0">
        <w:col w:w="1043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83C" w:rsidRDefault="0028683C">
      <w:r>
        <w:separator/>
      </w:r>
    </w:p>
  </w:endnote>
  <w:endnote w:type="continuationSeparator" w:id="0">
    <w:p w:rsidR="0028683C" w:rsidRDefault="0028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5D8" w:rsidRDefault="006925D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853" w:rsidRDefault="00440397">
    <w:pPr>
      <w:pStyle w:val="a3"/>
      <w:kinsoku w:val="0"/>
      <w:overflowPunct w:val="0"/>
      <w:spacing w:before="0" w:line="14" w:lineRule="auto"/>
      <w:ind w:left="0"/>
      <w:rPr>
        <w:rFonts w:ascii="Times New Roman" w:eastAsiaTheme="minorEastAsia" w:cs="Times New Roman"/>
        <w:sz w:val="20"/>
        <w:szCs w:val="20"/>
      </w:rPr>
    </w:pPr>
    <w:r>
      <w:rPr>
        <w:noProof/>
      </w:rPr>
      <w:pict>
        <v:shapetype id="_x0000_t202" coordsize="21600,21600" o:spt="202" path="m,l,21600r21600,l21600,xe">
          <v:stroke joinstyle="miter"/>
          <v:path gradientshapeok="t" o:connecttype="rect"/>
        </v:shapetype>
        <v:shape id="_x0000_s2049" type="#_x0000_t202" style="position:absolute;margin-left:199.15pt;margin-top:789.45pt;width:197.1pt;height:12pt;z-index:-251658752;mso-position-horizontal-relative:page;mso-position-vertical-relative:page" o:allowincell="f" filled="f" stroked="f">
          <v:textbox inset="0,0,0,0">
            <w:txbxContent>
              <w:p w:rsidR="00571853" w:rsidRDefault="00571853">
                <w:pPr>
                  <w:pStyle w:val="a3"/>
                  <w:kinsoku w:val="0"/>
                  <w:overflowPunct w:val="0"/>
                  <w:spacing w:before="0" w:line="224" w:lineRule="exact"/>
                  <w:ind w:left="20"/>
                  <w:rPr>
                    <w:rFonts w:ascii="Times New Roman" w:cs="Times New Roman"/>
                    <w:sz w:val="20"/>
                    <w:szCs w:val="20"/>
                  </w:rPr>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5D8" w:rsidRDefault="006925D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83C" w:rsidRDefault="0028683C">
      <w:r>
        <w:separator/>
      </w:r>
    </w:p>
  </w:footnote>
  <w:footnote w:type="continuationSeparator" w:id="0">
    <w:p w:rsidR="0028683C" w:rsidRDefault="00286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5D8" w:rsidRDefault="006925D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5D8" w:rsidRDefault="006925D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5D8" w:rsidRDefault="006925D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972FE"/>
    <w:rsid w:val="000972FE"/>
    <w:rsid w:val="0028683C"/>
    <w:rsid w:val="00440397"/>
    <w:rsid w:val="004B2B5F"/>
    <w:rsid w:val="00571853"/>
    <w:rsid w:val="006925D8"/>
    <w:rsid w:val="00AD0D90"/>
    <w:rsid w:val="00B33D5E"/>
    <w:rsid w:val="00C15CAF"/>
    <w:rsid w:val="00DA5545"/>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docId w15:val="{205C5EA3-5325-4B42-B474-C364393D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4"/>
        <w:szCs w:val="24"/>
        <w:lang w:val="en-US" w:eastAsia="zh-TW" w:bidi="hi-IN"/>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pPr>
      <w:widowControl w:val="0"/>
      <w:autoSpaceDE w:val="0"/>
      <w:autoSpaceDN w:val="0"/>
      <w:adjustRightInd w:val="0"/>
    </w:pPr>
    <w:rPr>
      <w:rFonts w:ascii="Times New Roman" w:hAnsi="Times New Roman"/>
      <w:kern w:val="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spacing w:before="11"/>
      <w:ind w:left="591"/>
    </w:pPr>
    <w:rPr>
      <w:rFonts w:ascii="標楷體" w:eastAsia="標楷體" w:cs="標楷體"/>
    </w:rPr>
  </w:style>
  <w:style w:type="character" w:customStyle="1" w:styleId="a4">
    <w:name w:val="本文 字元"/>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0972FE"/>
    <w:pPr>
      <w:tabs>
        <w:tab w:val="center" w:pos="4153"/>
        <w:tab w:val="right" w:pos="8306"/>
      </w:tabs>
      <w:snapToGrid w:val="0"/>
    </w:pPr>
    <w:rPr>
      <w:sz w:val="20"/>
      <w:szCs w:val="20"/>
    </w:rPr>
  </w:style>
  <w:style w:type="character" w:customStyle="1" w:styleId="a7">
    <w:name w:val="頁首 字元"/>
    <w:basedOn w:val="a0"/>
    <w:link w:val="a6"/>
    <w:uiPriority w:val="99"/>
    <w:locked/>
    <w:rsid w:val="000972FE"/>
    <w:rPr>
      <w:rFonts w:ascii="Times New Roman" w:hAnsi="Times New Roman" w:cs="Times New Roman"/>
      <w:kern w:val="0"/>
      <w:sz w:val="20"/>
      <w:szCs w:val="20"/>
    </w:rPr>
  </w:style>
  <w:style w:type="paragraph" w:styleId="a8">
    <w:name w:val="footer"/>
    <w:basedOn w:val="a"/>
    <w:link w:val="a9"/>
    <w:uiPriority w:val="99"/>
    <w:unhideWhenUsed/>
    <w:rsid w:val="000972FE"/>
    <w:pPr>
      <w:tabs>
        <w:tab w:val="center" w:pos="4153"/>
        <w:tab w:val="right" w:pos="8306"/>
      </w:tabs>
      <w:snapToGrid w:val="0"/>
    </w:pPr>
    <w:rPr>
      <w:sz w:val="20"/>
      <w:szCs w:val="20"/>
    </w:rPr>
  </w:style>
  <w:style w:type="character" w:customStyle="1" w:styleId="a9">
    <w:name w:val="頁尾 字元"/>
    <w:basedOn w:val="a0"/>
    <w:link w:val="a8"/>
    <w:uiPriority w:val="99"/>
    <w:locked/>
    <w:rsid w:val="000972FE"/>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1710</Words>
  <Characters>9752</Characters>
  <Application>Microsoft Office Word</Application>
  <DocSecurity>0</DocSecurity>
  <Lines>81</Lines>
  <Paragraphs>22</Paragraphs>
  <ScaleCrop>false</ScaleCrop>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(Edit_PR Leader) Ann Lai</cp:lastModifiedBy>
  <cp:revision>4</cp:revision>
  <dcterms:created xsi:type="dcterms:W3CDTF">2025-10-28T02:54:00Z</dcterms:created>
  <dcterms:modified xsi:type="dcterms:W3CDTF">2025-11-26T03:03:00Z</dcterms:modified>
</cp:coreProperties>
</file>