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50825C6" w14:textId="77777777" w:rsidR="006D3952" w:rsidRPr="006D3952" w:rsidRDefault="006D3952" w:rsidP="005C40CA">
      <w:pPr>
        <w:pStyle w:val="a4"/>
        <w:snapToGrid w:val="0"/>
        <w:spacing w:before="0"/>
        <w:ind w:left="0" w:right="-53"/>
        <w:rPr>
          <w:rFonts w:ascii="Times New Roman" w:hAnsi="Times New Roman" w:cs="Times New Roman"/>
          <w:snapToGrid w:val="0"/>
          <w:kern w:val="2"/>
          <w:sz w:val="28"/>
          <w:szCs w:val="28"/>
        </w:rPr>
      </w:pPr>
      <w:r w:rsidRPr="006D3952">
        <w:rPr>
          <w:rFonts w:ascii="Times New Roman" w:hAnsi="Times New Roman" w:cs="Times New Roman"/>
          <w:snapToGrid w:val="0"/>
          <w:kern w:val="2"/>
          <w:sz w:val="28"/>
          <w:szCs w:val="28"/>
        </w:rPr>
        <w:t>NATIONAL CHUNG HSING UNIVERSITY</w:t>
      </w:r>
    </w:p>
    <w:p w14:paraId="749DD1E7" w14:textId="7C27967D" w:rsidR="00B3675A" w:rsidRPr="006D3952" w:rsidRDefault="006D3952" w:rsidP="005C40CA">
      <w:pPr>
        <w:pStyle w:val="a4"/>
        <w:snapToGrid w:val="0"/>
        <w:spacing w:before="0"/>
        <w:ind w:left="0" w:right="-53"/>
        <w:rPr>
          <w:rFonts w:ascii="Times New Roman" w:hAnsi="Times New Roman" w:cs="Times New Roman"/>
          <w:snapToGrid w:val="0"/>
          <w:kern w:val="2"/>
          <w:sz w:val="28"/>
          <w:szCs w:val="28"/>
        </w:rPr>
      </w:pPr>
      <w:r w:rsidRPr="006D3952">
        <w:rPr>
          <w:rFonts w:ascii="Times New Roman" w:hAnsi="Times New Roman" w:cs="Times New Roman"/>
          <w:snapToGrid w:val="0"/>
          <w:kern w:val="2"/>
          <w:sz w:val="28"/>
          <w:szCs w:val="28"/>
        </w:rPr>
        <w:t>Standards for the Review and Management of</w:t>
      </w:r>
      <w:r>
        <w:rPr>
          <w:rFonts w:ascii="Times New Roman" w:hAnsi="Times New Roman" w:cs="Times New Roman"/>
          <w:snapToGrid w:val="0"/>
          <w:kern w:val="2"/>
          <w:sz w:val="28"/>
          <w:szCs w:val="28"/>
        </w:rPr>
        <w:br/>
      </w:r>
      <w:r w:rsidRPr="006D3952">
        <w:rPr>
          <w:rFonts w:ascii="Times New Roman" w:hAnsi="Times New Roman" w:cs="Times New Roman"/>
          <w:snapToGrid w:val="0"/>
          <w:kern w:val="2"/>
          <w:sz w:val="28"/>
          <w:szCs w:val="28"/>
        </w:rPr>
        <w:t>University Logo and Trademark Licensing Agreements</w:t>
      </w:r>
    </w:p>
    <w:p w14:paraId="658A74DD" w14:textId="77777777" w:rsidR="00B3675A" w:rsidRDefault="006D3952" w:rsidP="005C40CA">
      <w:pPr>
        <w:snapToGrid w:val="0"/>
        <w:rPr>
          <w:rFonts w:ascii="Times New Roman" w:hAnsi="Times New Roman" w:cs="Times New Roman"/>
          <w:snapToGrid w:val="0"/>
          <w:color w:val="FF0000"/>
          <w:kern w:val="2"/>
          <w:sz w:val="20"/>
          <w:u w:val="single" w:color="FF0000"/>
        </w:rPr>
      </w:pPr>
      <w:r>
        <w:rPr>
          <w:rFonts w:ascii="Times New Roman" w:hAnsi="Times New Roman" w:cs="Times New Roman"/>
          <w:snapToGrid w:val="0"/>
          <w:color w:val="FF0000"/>
          <w:kern w:val="2"/>
          <w:sz w:val="20"/>
          <w:u w:val="single" w:color="FF0000"/>
        </w:rPr>
        <w:br/>
        <w:t>October 18, 2017—Formulated by the 410</w:t>
      </w:r>
      <w:r w:rsidRPr="006D3952">
        <w:rPr>
          <w:rFonts w:ascii="Times New Roman" w:hAnsi="Times New Roman" w:cs="Times New Roman"/>
          <w:snapToGrid w:val="0"/>
          <w:color w:val="FF0000"/>
          <w:kern w:val="2"/>
          <w:sz w:val="20"/>
          <w:u w:val="single" w:color="FF0000"/>
          <w:vertAlign w:val="superscript"/>
        </w:rPr>
        <w:t>th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u w:val="single" w:color="FF0000"/>
        </w:rPr>
        <w:t xml:space="preserve"> Expanded Administrative Meeting</w:t>
      </w:r>
    </w:p>
    <w:p w14:paraId="0BB23C7F" w14:textId="77777777" w:rsidR="006D3952" w:rsidRDefault="006D3952" w:rsidP="005C40CA">
      <w:pPr>
        <w:snapToGrid w:val="0"/>
        <w:rPr>
          <w:rFonts w:ascii="Times New Roman" w:hAnsi="Times New Roman" w:cs="Times New Roman"/>
          <w:snapToGrid w:val="0"/>
          <w:color w:val="FF0000"/>
          <w:kern w:val="2"/>
          <w:sz w:val="20"/>
          <w:u w:val="single" w:color="FF0000"/>
        </w:rPr>
      </w:pPr>
    </w:p>
    <w:p w14:paraId="4FC7916D" w14:textId="77777777" w:rsidR="006D3952" w:rsidRPr="006D3952" w:rsidRDefault="006D3952" w:rsidP="005C40CA">
      <w:pPr>
        <w:snapToGrid w:val="0"/>
        <w:rPr>
          <w:rFonts w:ascii="Times New Roman" w:hAnsi="Times New Roman" w:cs="Times New Roman"/>
          <w:snapToGrid w:val="0"/>
          <w:kern w:val="2"/>
          <w:sz w:val="20"/>
        </w:rPr>
      </w:pPr>
    </w:p>
    <w:p w14:paraId="3622F2C4" w14:textId="77777777" w:rsidR="00B3675A" w:rsidRPr="006D3952" w:rsidRDefault="006D3952" w:rsidP="005C40CA">
      <w:pPr>
        <w:pStyle w:val="a3"/>
        <w:snapToGrid w:val="0"/>
        <w:spacing w:afterLines="50" w:after="120"/>
        <w:ind w:left="1134" w:right="91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Article 1</w:t>
      </w:r>
      <w:r>
        <w:rPr>
          <w:rFonts w:ascii="Times New Roman" w:hAnsi="Times New Roman" w:cs="Times New Roman"/>
          <w:snapToGrid w:val="0"/>
          <w:kern w:val="2"/>
        </w:rPr>
        <w:tab/>
        <w:t xml:space="preserve">National Chung Hsing University (hereinafter, NCHU or “the University”) has formulated the NCHU </w:t>
      </w:r>
      <w:r w:rsidRPr="006D3952">
        <w:rPr>
          <w:rFonts w:ascii="Times New Roman" w:hAnsi="Times New Roman" w:cs="Times New Roman"/>
          <w:i/>
          <w:iCs/>
          <w:snapToGrid w:val="0"/>
          <w:kern w:val="2"/>
        </w:rPr>
        <w:t>Standards for the Review and Management of University Logo and Trademark Licensing Agreements</w:t>
      </w:r>
      <w:r w:rsidRPr="006D3952">
        <w:rPr>
          <w:rFonts w:ascii="Times New Roman" w:hAnsi="Times New Roman" w:cs="Times New Roman"/>
          <w:snapToGrid w:val="0"/>
          <w:kern w:val="2"/>
        </w:rPr>
        <w:t xml:space="preserve"> </w:t>
      </w:r>
      <w:r>
        <w:rPr>
          <w:rFonts w:ascii="Times New Roman" w:hAnsi="Times New Roman" w:cs="Times New Roman"/>
          <w:snapToGrid w:val="0"/>
          <w:kern w:val="2"/>
        </w:rPr>
        <w:t>(“the Standards”) to effectively utilize the University’s logos and trademarks and ensure the proper control and management of logo and trademark licensing agreements.</w:t>
      </w:r>
    </w:p>
    <w:p w14:paraId="75C81FD1" w14:textId="070A29FD" w:rsidR="00B3675A" w:rsidRPr="006D3952" w:rsidRDefault="006D3952" w:rsidP="005C40CA">
      <w:pPr>
        <w:pStyle w:val="a3"/>
        <w:snapToGrid w:val="0"/>
        <w:ind w:left="1134" w:right="89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Article 2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B22EDA">
        <w:rPr>
          <w:rFonts w:ascii="Times New Roman" w:hAnsi="Times New Roman" w:cs="Times New Roman"/>
          <w:snapToGrid w:val="0"/>
          <w:kern w:val="2"/>
        </w:rPr>
        <w:t xml:space="preserve">Companies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that </w:t>
      </w:r>
      <w:r w:rsidR="00B22EDA">
        <w:rPr>
          <w:rFonts w:ascii="Times New Roman" w:hAnsi="Times New Roman" w:cs="Times New Roman"/>
          <w:snapToGrid w:val="0"/>
          <w:kern w:val="2"/>
        </w:rPr>
        <w:t xml:space="preserve">wish to use the University’s </w:t>
      </w:r>
      <w:r w:rsidR="005A2DE6">
        <w:rPr>
          <w:rFonts w:ascii="Times New Roman" w:hAnsi="Times New Roman" w:cs="Times New Roman"/>
          <w:snapToGrid w:val="0"/>
          <w:kern w:val="2"/>
        </w:rPr>
        <w:t xml:space="preserve">logos and trademarks must be existing legal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entities </w:t>
      </w:r>
      <w:r w:rsidR="005A2DE6">
        <w:rPr>
          <w:rFonts w:ascii="Times New Roman" w:hAnsi="Times New Roman" w:cs="Times New Roman"/>
          <w:snapToGrid w:val="0"/>
          <w:kern w:val="2"/>
        </w:rPr>
        <w:t>with official business</w:t>
      </w:r>
      <w:r w:rsidR="005A2DE6">
        <w:rPr>
          <w:rFonts w:ascii="Times New Roman" w:hAnsi="Times New Roman" w:cs="Times New Roman"/>
          <w:snapToGrid w:val="0"/>
          <w:kern w:val="2"/>
          <w:lang w:eastAsia="zh-TW"/>
        </w:rPr>
        <w:t xml:space="preserve">, company, or factory registration and must </w:t>
      </w:r>
      <w:r w:rsidR="00B02200">
        <w:rPr>
          <w:rFonts w:ascii="Times New Roman" w:hAnsi="Times New Roman" w:cs="Times New Roman"/>
          <w:snapToGrid w:val="0"/>
          <w:kern w:val="2"/>
          <w:lang w:eastAsia="zh-TW"/>
        </w:rPr>
        <w:t xml:space="preserve">be </w:t>
      </w:r>
      <w:r w:rsidR="005A2DE6">
        <w:rPr>
          <w:rFonts w:ascii="Times New Roman" w:hAnsi="Times New Roman" w:cs="Times New Roman"/>
          <w:snapToGrid w:val="0"/>
          <w:kern w:val="2"/>
          <w:lang w:eastAsia="zh-TW"/>
        </w:rPr>
        <w:t>one of the following:</w:t>
      </w:r>
    </w:p>
    <w:p w14:paraId="1979943B" w14:textId="77777777" w:rsidR="00B3675A" w:rsidRPr="006D3952" w:rsidRDefault="006D3952" w:rsidP="005C40CA">
      <w:pPr>
        <w:pStyle w:val="a3"/>
        <w:snapToGrid w:val="0"/>
        <w:ind w:left="1418" w:right="89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1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B02200">
        <w:rPr>
          <w:rFonts w:ascii="Times New Roman" w:hAnsi="Times New Roman" w:cs="Times New Roman"/>
          <w:snapToGrid w:val="0"/>
          <w:kern w:val="2"/>
        </w:rPr>
        <w:t>Participants in an academia</w:t>
      </w:r>
      <w:r w:rsidR="00A54C5B">
        <w:rPr>
          <w:rFonts w:ascii="Times New Roman" w:hAnsi="Times New Roman" w:cs="Times New Roman"/>
          <w:snapToGrid w:val="0"/>
          <w:kern w:val="2"/>
        </w:rPr>
        <w:t>-industry</w:t>
      </w:r>
      <w:r w:rsidR="00B02200">
        <w:rPr>
          <w:rFonts w:ascii="Times New Roman" w:hAnsi="Times New Roman" w:cs="Times New Roman"/>
          <w:snapToGrid w:val="0"/>
          <w:kern w:val="2"/>
        </w:rPr>
        <w:t xml:space="preserve"> collaboration project with NCHU with a total budget of NT$5,000,000 or more</w:t>
      </w:r>
    </w:p>
    <w:p w14:paraId="68386649" w14:textId="766A0E00" w:rsidR="00B3675A" w:rsidRPr="006D3952" w:rsidRDefault="006D3952" w:rsidP="005C40CA">
      <w:pPr>
        <w:pStyle w:val="a3"/>
        <w:snapToGrid w:val="0"/>
        <w:ind w:left="1418" w:right="89" w:hanging="284"/>
        <w:jc w:val="both"/>
        <w:rPr>
          <w:rFonts w:ascii="Times New Roman" w:hAnsi="Times New Roman" w:cs="Times New Roman"/>
          <w:snapToGrid w:val="0"/>
          <w:kern w:val="2"/>
          <w:lang w:eastAsia="zh-TW"/>
        </w:rPr>
      </w:pPr>
      <w:r>
        <w:rPr>
          <w:rFonts w:ascii="Times New Roman" w:hAnsi="Times New Roman" w:cs="Times New Roman" w:hint="eastAsia"/>
          <w:snapToGrid w:val="0"/>
          <w:kern w:val="2"/>
          <w:lang w:eastAsia="zh-TW"/>
        </w:rPr>
        <w:t>2</w:t>
      </w:r>
      <w:r>
        <w:rPr>
          <w:rFonts w:ascii="Times New Roman" w:hAnsi="Times New Roman" w:cs="Times New Roman"/>
          <w:snapToGrid w:val="0"/>
          <w:kern w:val="2"/>
          <w:lang w:eastAsia="zh-TW"/>
        </w:rPr>
        <w:t>.</w:t>
      </w:r>
      <w:r>
        <w:rPr>
          <w:rFonts w:ascii="Times New Roman" w:hAnsi="Times New Roman" w:cs="Times New Roman"/>
          <w:snapToGrid w:val="0"/>
          <w:kern w:val="2"/>
          <w:lang w:eastAsia="zh-TW"/>
        </w:rPr>
        <w:tab/>
      </w:r>
      <w:r w:rsidR="00B02200">
        <w:rPr>
          <w:rFonts w:ascii="Times New Roman" w:hAnsi="Times New Roman" w:cs="Times New Roman"/>
          <w:snapToGrid w:val="0"/>
          <w:kern w:val="2"/>
          <w:lang w:eastAsia="zh-TW"/>
        </w:rPr>
        <w:t>Resident</w:t>
      </w:r>
      <w:r w:rsidR="00A54C5B">
        <w:rPr>
          <w:rFonts w:ascii="Times New Roman" w:hAnsi="Times New Roman" w:cs="Times New Roman"/>
          <w:snapToGrid w:val="0"/>
          <w:kern w:val="2"/>
          <w:lang w:eastAsia="zh-TW"/>
        </w:rPr>
        <w:t xml:space="preserve"> companies</w:t>
      </w:r>
      <w:r w:rsidR="00B02200">
        <w:rPr>
          <w:rFonts w:ascii="Times New Roman" w:hAnsi="Times New Roman" w:cs="Times New Roman"/>
          <w:snapToGrid w:val="0"/>
          <w:kern w:val="2"/>
          <w:lang w:eastAsia="zh-TW"/>
        </w:rPr>
        <w:t xml:space="preserve"> </w:t>
      </w:r>
      <w:r w:rsidR="00B02200">
        <w:rPr>
          <w:rFonts w:ascii="Times New Roman" w:hAnsi="Times New Roman" w:cs="Times New Roman"/>
          <w:snapToGrid w:val="0"/>
          <w:kern w:val="2"/>
        </w:rPr>
        <w:t xml:space="preserve">at the NCHU Innovation Incubator </w:t>
      </w:r>
      <w:r w:rsidR="005C40CA">
        <w:rPr>
          <w:rFonts w:ascii="Times New Roman" w:hAnsi="Times New Roman" w:cs="Times New Roman"/>
          <w:snapToGrid w:val="0"/>
          <w:kern w:val="2"/>
          <w:lang w:eastAsia="zh-TW"/>
        </w:rPr>
        <w:t xml:space="preserve">that </w:t>
      </w:r>
      <w:r w:rsidR="00A54C5B">
        <w:rPr>
          <w:rFonts w:ascii="Times New Roman" w:hAnsi="Times New Roman" w:cs="Times New Roman"/>
          <w:snapToGrid w:val="0"/>
          <w:kern w:val="2"/>
          <w:lang w:eastAsia="zh-TW"/>
        </w:rPr>
        <w:t xml:space="preserve">have co-proposed a </w:t>
      </w:r>
      <w:r w:rsidR="00A54C5B" w:rsidRPr="005C40CA">
        <w:rPr>
          <w:rFonts w:ascii="Times New Roman" w:hAnsi="Times New Roman" w:cs="Times New Roman"/>
          <w:snapToGrid w:val="0"/>
          <w:kern w:val="2"/>
          <w:lang w:eastAsia="zh-TW"/>
        </w:rPr>
        <w:t xml:space="preserve">research project with NCHU with a government research grant of NT$5,000,000 or more and </w:t>
      </w:r>
      <w:r w:rsidR="005C40CA" w:rsidRPr="005C40CA">
        <w:rPr>
          <w:rFonts w:ascii="Times New Roman" w:hAnsi="Times New Roman" w:cs="Times New Roman"/>
          <w:snapToGrid w:val="0"/>
          <w:kern w:val="2"/>
          <w:lang w:eastAsia="zh-TW"/>
        </w:rPr>
        <w:t xml:space="preserve">that </w:t>
      </w:r>
      <w:r w:rsidR="00A54C5B" w:rsidRPr="005C40CA">
        <w:rPr>
          <w:rFonts w:ascii="Times New Roman" w:hAnsi="Times New Roman" w:cs="Times New Roman"/>
          <w:snapToGrid w:val="0"/>
          <w:kern w:val="2"/>
          <w:lang w:eastAsia="zh-TW"/>
        </w:rPr>
        <w:t xml:space="preserve">have </w:t>
      </w:r>
      <w:r w:rsidR="00DE47FA" w:rsidRPr="005C40CA">
        <w:rPr>
          <w:rFonts w:ascii="Times New Roman" w:hAnsi="Times New Roman" w:cs="Times New Roman"/>
          <w:snapToGrid w:val="0"/>
          <w:kern w:val="2"/>
          <w:lang w:eastAsia="zh-TW"/>
        </w:rPr>
        <w:t>actually participated</w:t>
      </w:r>
      <w:r w:rsidR="00DE47FA">
        <w:rPr>
          <w:rFonts w:ascii="Times New Roman" w:hAnsi="Times New Roman" w:cs="Times New Roman"/>
          <w:snapToGrid w:val="0"/>
          <w:kern w:val="2"/>
          <w:lang w:eastAsia="zh-TW"/>
        </w:rPr>
        <w:t xml:space="preserve"> in </w:t>
      </w:r>
      <w:r w:rsidR="005C40CA">
        <w:rPr>
          <w:rFonts w:ascii="Times New Roman" w:hAnsi="Times New Roman" w:cs="Times New Roman"/>
          <w:snapToGrid w:val="0"/>
          <w:kern w:val="2"/>
          <w:lang w:eastAsia="zh-TW"/>
        </w:rPr>
        <w:t xml:space="preserve">an </w:t>
      </w:r>
      <w:r w:rsidR="00DE47FA">
        <w:rPr>
          <w:rFonts w:ascii="Times New Roman" w:hAnsi="Times New Roman" w:cs="Times New Roman"/>
          <w:snapToGrid w:val="0"/>
          <w:kern w:val="2"/>
          <w:lang w:eastAsia="zh-TW"/>
        </w:rPr>
        <w:t>academia-industry collaboration project or technology transfer with the University</w:t>
      </w:r>
    </w:p>
    <w:p w14:paraId="56B8E9F7" w14:textId="53E46232" w:rsidR="00B3675A" w:rsidRPr="006D3952" w:rsidRDefault="006D3952" w:rsidP="005C40CA">
      <w:pPr>
        <w:pStyle w:val="a3"/>
        <w:snapToGrid w:val="0"/>
        <w:ind w:left="1418" w:right="89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3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DE47FA">
        <w:rPr>
          <w:rFonts w:ascii="Times New Roman" w:hAnsi="Times New Roman" w:cs="Times New Roman"/>
          <w:snapToGrid w:val="0"/>
          <w:kern w:val="2"/>
        </w:rPr>
        <w:t xml:space="preserve">Licensees of a technology transfer agreement with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cumulative </w:t>
      </w:r>
      <w:r w:rsidR="00DE47FA">
        <w:rPr>
          <w:rFonts w:ascii="Times New Roman" w:hAnsi="Times New Roman" w:cs="Times New Roman"/>
          <w:snapToGrid w:val="0"/>
          <w:kern w:val="2"/>
        </w:rPr>
        <w:t>licensing fee</w:t>
      </w:r>
      <w:r w:rsidR="005C40CA">
        <w:rPr>
          <w:rFonts w:ascii="Times New Roman" w:hAnsi="Times New Roman" w:cs="Times New Roman"/>
          <w:snapToGrid w:val="0"/>
          <w:kern w:val="2"/>
        </w:rPr>
        <w:t>s</w:t>
      </w:r>
      <w:r w:rsidR="00DE47FA">
        <w:rPr>
          <w:rFonts w:ascii="Times New Roman" w:hAnsi="Times New Roman" w:cs="Times New Roman"/>
          <w:snapToGrid w:val="0"/>
          <w:kern w:val="2"/>
        </w:rPr>
        <w:t xml:space="preserve"> of NT$1,000,000 or more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 already paid in </w:t>
      </w:r>
      <w:r w:rsidR="005C40CA" w:rsidRPr="005C40CA">
        <w:rPr>
          <w:rFonts w:ascii="Times New Roman" w:hAnsi="Times New Roman" w:cs="Times New Roman"/>
          <w:snapToGrid w:val="0"/>
          <w:kern w:val="2"/>
        </w:rPr>
        <w:t>to</w:t>
      </w:r>
      <w:r w:rsidR="00DE47FA" w:rsidRPr="005C40CA">
        <w:rPr>
          <w:rFonts w:ascii="Times New Roman" w:hAnsi="Times New Roman" w:cs="Times New Roman"/>
          <w:snapToGrid w:val="0"/>
          <w:kern w:val="2"/>
        </w:rPr>
        <w:t xml:space="preserve"> the University</w:t>
      </w:r>
    </w:p>
    <w:p w14:paraId="0EF494B5" w14:textId="01BD3F54" w:rsidR="00B3675A" w:rsidRPr="006D3952" w:rsidRDefault="006D3952" w:rsidP="005C40CA">
      <w:pPr>
        <w:pStyle w:val="a3"/>
        <w:snapToGrid w:val="0"/>
        <w:spacing w:beforeLines="50" w:before="120"/>
        <w:ind w:left="1134" w:right="91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Article 3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5C40CA">
        <w:rPr>
          <w:rFonts w:ascii="Times New Roman" w:hAnsi="Times New Roman" w:cs="Times New Roman"/>
          <w:snapToGrid w:val="0"/>
          <w:kern w:val="2"/>
        </w:rPr>
        <w:t xml:space="preserve">Any company </w:t>
      </w:r>
      <w:r w:rsidR="006637E7">
        <w:rPr>
          <w:rFonts w:ascii="Times New Roman" w:hAnsi="Times New Roman" w:cs="Times New Roman"/>
          <w:snapToGrid w:val="0"/>
          <w:kern w:val="2"/>
        </w:rPr>
        <w:t xml:space="preserve">meeting the criteria </w:t>
      </w:r>
      <w:r w:rsidR="00805A6C">
        <w:rPr>
          <w:rFonts w:ascii="Times New Roman" w:hAnsi="Times New Roman" w:cs="Times New Roman"/>
          <w:snapToGrid w:val="0"/>
          <w:kern w:val="2"/>
        </w:rPr>
        <w:t xml:space="preserve">described </w:t>
      </w:r>
      <w:r w:rsidR="006637E7">
        <w:rPr>
          <w:rFonts w:ascii="Times New Roman" w:hAnsi="Times New Roman" w:cs="Times New Roman"/>
          <w:snapToGrid w:val="0"/>
          <w:kern w:val="2"/>
        </w:rPr>
        <w:t xml:space="preserve">in the preceding paragraph may submit a commercial licensing application in accordance with Article 11 of the University’s </w:t>
      </w:r>
      <w:r w:rsidR="006637E7" w:rsidRPr="006637E7">
        <w:rPr>
          <w:rFonts w:ascii="Times New Roman" w:hAnsi="Times New Roman" w:cs="Times New Roman"/>
          <w:i/>
          <w:iCs/>
          <w:snapToGrid w:val="0"/>
          <w:kern w:val="2"/>
        </w:rPr>
        <w:t>Regulations for the Management of University Logos and Trademarks</w:t>
      </w:r>
      <w:r w:rsidR="006637E7">
        <w:rPr>
          <w:rFonts w:ascii="Times New Roman" w:hAnsi="Times New Roman" w:cs="Times New Roman"/>
          <w:snapToGrid w:val="0"/>
          <w:kern w:val="2"/>
        </w:rPr>
        <w:t>.</w:t>
      </w:r>
      <w:r w:rsidR="006637E7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9F78F4">
        <w:rPr>
          <w:rFonts w:ascii="Times New Roman" w:hAnsi="Times New Roman" w:cs="Times New Roman"/>
          <w:snapToGrid w:val="0"/>
          <w:kern w:val="2"/>
        </w:rPr>
        <w:t>Applications that meet the following criteria, as determined in a preliminary review, shall be presented to the University’s Logo and Trademark Management Committee for review:</w:t>
      </w:r>
    </w:p>
    <w:p w14:paraId="57F98D6A" w14:textId="76EB99C7" w:rsidR="00B3675A" w:rsidRPr="006D3952" w:rsidRDefault="006D3952" w:rsidP="005C40CA">
      <w:pPr>
        <w:pStyle w:val="a3"/>
        <w:snapToGrid w:val="0"/>
        <w:ind w:left="1418" w:right="89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1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B3ADE">
        <w:rPr>
          <w:rFonts w:ascii="Times New Roman" w:hAnsi="Times New Roman" w:cs="Times New Roman"/>
          <w:snapToGrid w:val="0"/>
          <w:kern w:val="2"/>
        </w:rPr>
        <w:t>The logo/trademark license must be a non-exclusive license</w:t>
      </w:r>
      <w:r w:rsidR="008B3ADE">
        <w:rPr>
          <w:rFonts w:ascii="Times New Roman" w:hAnsi="Times New Roman" w:cs="Times New Roman" w:hint="eastAsia"/>
          <w:snapToGrid w:val="0"/>
          <w:kern w:val="2"/>
        </w:rPr>
        <w:t>.</w:t>
      </w:r>
    </w:p>
    <w:p w14:paraId="1BB2F50D" w14:textId="38821AF4" w:rsidR="00B3675A" w:rsidRPr="006D3952" w:rsidRDefault="006D3952" w:rsidP="005C40CA">
      <w:pPr>
        <w:pStyle w:val="a3"/>
        <w:snapToGrid w:val="0"/>
        <w:ind w:left="1418" w:right="89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2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B3ADE">
        <w:rPr>
          <w:rFonts w:ascii="Times New Roman" w:hAnsi="Times New Roman" w:cs="Times New Roman"/>
          <w:snapToGrid w:val="0"/>
          <w:kern w:val="2"/>
        </w:rPr>
        <w:t xml:space="preserve">The </w:t>
      </w:r>
      <w:r w:rsidRPr="006D3952">
        <w:rPr>
          <w:rFonts w:ascii="Times New Roman" w:eastAsia="Times New Roman" w:hAnsi="Times New Roman" w:cs="Times New Roman"/>
          <w:snapToGrid w:val="0"/>
          <w:kern w:val="2"/>
        </w:rPr>
        <w:t>licensing fee</w:t>
      </w:r>
      <w:r w:rsidR="008B3ADE">
        <w:rPr>
          <w:rFonts w:ascii="Times New Roman" w:eastAsia="Times New Roman" w:hAnsi="Times New Roman" w:cs="Times New Roman"/>
          <w:snapToGrid w:val="0"/>
          <w:kern w:val="2"/>
        </w:rPr>
        <w:t xml:space="preserve"> must be no less than </w:t>
      </w:r>
      <w:r w:rsidR="008B3ADE">
        <w:rPr>
          <w:rFonts w:ascii="Times New Roman" w:eastAsia="Times New Roman" w:hAnsi="Times New Roman" w:cs="Times New Roman"/>
          <w:snapToGrid w:val="0"/>
          <w:kern w:val="2"/>
          <w:lang w:eastAsia="zh-TW"/>
        </w:rPr>
        <w:t xml:space="preserve">NT$1,000,000, with a royalty rate of no less than 2% </w:t>
      </w:r>
      <w:r w:rsidR="005C40CA">
        <w:rPr>
          <w:rFonts w:ascii="Times New Roman" w:eastAsia="Times New Roman" w:hAnsi="Times New Roman" w:cs="Times New Roman"/>
          <w:snapToGrid w:val="0"/>
          <w:kern w:val="2"/>
          <w:lang w:eastAsia="zh-TW"/>
        </w:rPr>
        <w:t xml:space="preserve">of </w:t>
      </w:r>
      <w:r w:rsidR="008B3ADE">
        <w:rPr>
          <w:rFonts w:ascii="Times New Roman" w:eastAsia="Times New Roman" w:hAnsi="Times New Roman" w:cs="Times New Roman"/>
          <w:snapToGrid w:val="0"/>
          <w:kern w:val="2"/>
          <w:lang w:eastAsia="zh-TW"/>
        </w:rPr>
        <w:t>sales revenue.</w:t>
      </w:r>
    </w:p>
    <w:p w14:paraId="3B6FA986" w14:textId="34F63FFC" w:rsidR="00B3675A" w:rsidRPr="006D3952" w:rsidRDefault="006D3952" w:rsidP="005C40CA">
      <w:pPr>
        <w:pStyle w:val="a3"/>
        <w:snapToGrid w:val="0"/>
        <w:spacing w:afterLines="50" w:after="120"/>
        <w:ind w:left="1418" w:right="91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3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E566A">
        <w:rPr>
          <w:rFonts w:ascii="Times New Roman" w:hAnsi="Times New Roman" w:cs="Times New Roman"/>
          <w:snapToGrid w:val="0"/>
          <w:kern w:val="2"/>
        </w:rPr>
        <w:t xml:space="preserve">The merchandise on which the logo/trademark is used must be a product or application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derived from </w:t>
      </w:r>
      <w:r w:rsidR="008E566A">
        <w:rPr>
          <w:rFonts w:ascii="Times New Roman" w:hAnsi="Times New Roman" w:cs="Times New Roman"/>
          <w:snapToGrid w:val="0"/>
          <w:kern w:val="2"/>
        </w:rPr>
        <w:t>the University’s research and development outcomes.</w:t>
      </w:r>
    </w:p>
    <w:p w14:paraId="45C73D31" w14:textId="6F162295" w:rsidR="00B3675A" w:rsidRPr="006D3952" w:rsidRDefault="006D3952" w:rsidP="005C40CA">
      <w:pPr>
        <w:pStyle w:val="a3"/>
        <w:snapToGrid w:val="0"/>
        <w:spacing w:afterLines="50" w:after="120"/>
        <w:ind w:left="1134" w:right="91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Article 4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05A6C">
        <w:rPr>
          <w:rFonts w:ascii="Times New Roman" w:hAnsi="Times New Roman" w:cs="Times New Roman"/>
          <w:snapToGrid w:val="0"/>
          <w:kern w:val="2"/>
        </w:rPr>
        <w:t xml:space="preserve">Cultural and creative merchandise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is </w:t>
      </w:r>
      <w:r w:rsidR="00805A6C">
        <w:rPr>
          <w:rFonts w:ascii="Times New Roman" w:hAnsi="Times New Roman" w:cs="Times New Roman"/>
          <w:snapToGrid w:val="0"/>
          <w:kern w:val="2"/>
        </w:rPr>
        <w:t>exempt from the limitations described in the preceding two articles. The University’s Logo and Trademark Management Committee shall have sole discretion over whether a product may be considered cultural and creative merchandise.</w:t>
      </w:r>
    </w:p>
    <w:p w14:paraId="07834D88" w14:textId="482E7B0D" w:rsidR="006D3952" w:rsidRDefault="006D3952" w:rsidP="00BB10C9">
      <w:pPr>
        <w:pStyle w:val="a3"/>
        <w:snapToGrid w:val="0"/>
        <w:spacing w:afterLines="50" w:after="120"/>
        <w:ind w:left="1134" w:right="91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Article 5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05A6C">
        <w:rPr>
          <w:rFonts w:ascii="Times New Roman" w:hAnsi="Times New Roman" w:cs="Times New Roman"/>
          <w:snapToGrid w:val="0"/>
          <w:kern w:val="2"/>
        </w:rPr>
        <w:t xml:space="preserve">The licensing terms and duration shall be deliberated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upon </w:t>
      </w:r>
      <w:r w:rsidR="00805A6C">
        <w:rPr>
          <w:rFonts w:ascii="Times New Roman" w:hAnsi="Times New Roman" w:cs="Times New Roman"/>
          <w:snapToGrid w:val="0"/>
          <w:kern w:val="2"/>
        </w:rPr>
        <w:t>and approved by the University’s Logo and Trademark Management Committee</w:t>
      </w:r>
      <w:r w:rsidR="005C40CA">
        <w:rPr>
          <w:rFonts w:ascii="Times New Roman" w:hAnsi="Times New Roman" w:cs="Times New Roman"/>
          <w:snapToGrid w:val="0"/>
          <w:kern w:val="2"/>
        </w:rPr>
        <w:t>,</w:t>
      </w:r>
      <w:r w:rsidR="00805A6C">
        <w:rPr>
          <w:rFonts w:ascii="Times New Roman" w:hAnsi="Times New Roman" w:cs="Times New Roman"/>
          <w:snapToGrid w:val="0"/>
          <w:kern w:val="2"/>
        </w:rPr>
        <w:t xml:space="preserve"> and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shall </w:t>
      </w:r>
      <w:r w:rsidR="00805A6C">
        <w:rPr>
          <w:rFonts w:ascii="Times New Roman" w:hAnsi="Times New Roman" w:cs="Times New Roman"/>
          <w:snapToGrid w:val="0"/>
          <w:kern w:val="2"/>
        </w:rPr>
        <w:t xml:space="preserve">be </w:t>
      </w:r>
      <w:r w:rsidR="005C40CA">
        <w:rPr>
          <w:rFonts w:ascii="Times New Roman" w:hAnsi="Times New Roman" w:cs="Times New Roman"/>
          <w:snapToGrid w:val="0"/>
          <w:kern w:val="2"/>
        </w:rPr>
        <w:t xml:space="preserve">formalized </w:t>
      </w:r>
      <w:r w:rsidR="00805A6C">
        <w:rPr>
          <w:rFonts w:ascii="Times New Roman" w:hAnsi="Times New Roman" w:cs="Times New Roman"/>
          <w:snapToGrid w:val="0"/>
          <w:kern w:val="2"/>
        </w:rPr>
        <w:t>via a licensing agreement.</w:t>
      </w:r>
    </w:p>
    <w:p w14:paraId="53420DE2" w14:textId="707B16B6" w:rsidR="00B3675A" w:rsidRPr="00B22EDA" w:rsidRDefault="006D3952" w:rsidP="005C40CA">
      <w:pPr>
        <w:pStyle w:val="a3"/>
        <w:snapToGrid w:val="0"/>
        <w:ind w:left="1134" w:right="151" w:hanging="1134"/>
        <w:rPr>
          <w:rFonts w:ascii="Times New Roman" w:hAnsi="Times New Roman" w:cs="Times New Roman"/>
          <w:snapToGrid w:val="0"/>
          <w:kern w:val="2"/>
          <w:lang w:eastAsia="zh-TW"/>
        </w:rPr>
      </w:pPr>
      <w:r>
        <w:rPr>
          <w:rFonts w:ascii="Times New Roman" w:hAnsi="Times New Roman" w:cs="Times New Roman"/>
          <w:snapToGrid w:val="0"/>
          <w:kern w:val="2"/>
        </w:rPr>
        <w:t>Article 6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0B0127">
        <w:rPr>
          <w:rFonts w:ascii="Times New Roman" w:hAnsi="Times New Roman" w:cs="Times New Roman"/>
          <w:snapToGrid w:val="0"/>
          <w:kern w:val="2"/>
        </w:rPr>
        <w:t>These Standards and any amendments made hereto shall be implemented upon approval by the Administrative Meeting.</w:t>
      </w:r>
    </w:p>
    <w:sectPr w:rsidR="00B3675A" w:rsidRPr="00B22EDA" w:rsidSect="00B22E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080" w:right="1020" w:bottom="834" w:left="1020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0AD0" w14:textId="77777777" w:rsidR="00F126A4" w:rsidRDefault="00F126A4" w:rsidP="00B22EDA">
      <w:r>
        <w:separator/>
      </w:r>
    </w:p>
  </w:endnote>
  <w:endnote w:type="continuationSeparator" w:id="0">
    <w:p w14:paraId="1C3C178C" w14:textId="77777777" w:rsidR="00F126A4" w:rsidRDefault="00F126A4" w:rsidP="00B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1DF2" w14:textId="77777777" w:rsidR="00E21490" w:rsidRDefault="00E2149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D308" w14:textId="77777777" w:rsidR="00B22EDA" w:rsidRPr="006D3952" w:rsidRDefault="00B22EDA" w:rsidP="00B22EDA">
    <w:pPr>
      <w:snapToGrid w:val="0"/>
      <w:ind w:right="89"/>
      <w:jc w:val="center"/>
      <w:rPr>
        <w:rFonts w:ascii="Times New Roman" w:eastAsia="Times New Roman" w:hAnsi="Times New Roman" w:cs="Times New Roman"/>
        <w:snapToGrid w:val="0"/>
        <w:kern w:val="2"/>
        <w:sz w:val="20"/>
      </w:rPr>
    </w:pPr>
    <w:r>
      <w:rPr>
        <w:rFonts w:ascii="Times New Roman" w:hAnsi="Times New Roman" w:cs="Times New Roman"/>
        <w:snapToGrid w:val="0"/>
        <w:kern w:val="2"/>
        <w:sz w:val="20"/>
      </w:rPr>
      <w:t>Formulated by the 410</w:t>
    </w:r>
    <w:r w:rsidRPr="00B22EDA">
      <w:rPr>
        <w:rFonts w:ascii="Times New Roman" w:hAnsi="Times New Roman" w:cs="Times New Roman"/>
        <w:snapToGrid w:val="0"/>
        <w:kern w:val="2"/>
        <w:sz w:val="20"/>
        <w:vertAlign w:val="superscript"/>
      </w:rPr>
      <w:t>th</w:t>
    </w:r>
    <w:r>
      <w:rPr>
        <w:rFonts w:ascii="Times New Roman" w:hAnsi="Times New Roman" w:cs="Times New Roman"/>
        <w:snapToGrid w:val="0"/>
        <w:kern w:val="2"/>
        <w:sz w:val="20"/>
      </w:rPr>
      <w:t xml:space="preserve"> NCHU Expanded Administrative Meeting on October 18, 2017</w:t>
    </w:r>
  </w:p>
  <w:p w14:paraId="7B2293F9" w14:textId="77777777" w:rsidR="00B22EDA" w:rsidRDefault="00B22E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0FF4" w14:textId="77777777" w:rsidR="00E21490" w:rsidRDefault="00E214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3273" w14:textId="77777777" w:rsidR="00F126A4" w:rsidRDefault="00F126A4" w:rsidP="00B22EDA">
      <w:r>
        <w:separator/>
      </w:r>
    </w:p>
  </w:footnote>
  <w:footnote w:type="continuationSeparator" w:id="0">
    <w:p w14:paraId="5E013460" w14:textId="77777777" w:rsidR="00F126A4" w:rsidRDefault="00F126A4" w:rsidP="00B2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DC1" w14:textId="77777777" w:rsidR="00E21490" w:rsidRDefault="00E214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D24" w14:textId="77777777" w:rsidR="00E21490" w:rsidRDefault="00E2149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597E" w14:textId="77777777" w:rsidR="00E21490" w:rsidRDefault="00E2149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5A"/>
    <w:rsid w:val="000435F5"/>
    <w:rsid w:val="000B0127"/>
    <w:rsid w:val="002B5777"/>
    <w:rsid w:val="002C0A3F"/>
    <w:rsid w:val="00393A86"/>
    <w:rsid w:val="004B735C"/>
    <w:rsid w:val="005A2DE6"/>
    <w:rsid w:val="005C40CA"/>
    <w:rsid w:val="006637E7"/>
    <w:rsid w:val="006D3952"/>
    <w:rsid w:val="00805A6C"/>
    <w:rsid w:val="008B3ADE"/>
    <w:rsid w:val="008C56F3"/>
    <w:rsid w:val="008E566A"/>
    <w:rsid w:val="00922BB2"/>
    <w:rsid w:val="009F78F4"/>
    <w:rsid w:val="00A54C5B"/>
    <w:rsid w:val="00AD25BF"/>
    <w:rsid w:val="00B02200"/>
    <w:rsid w:val="00B22EDA"/>
    <w:rsid w:val="00B3675A"/>
    <w:rsid w:val="00BB10C9"/>
    <w:rsid w:val="00C75CBF"/>
    <w:rsid w:val="00DE47FA"/>
    <w:rsid w:val="00E21490"/>
    <w:rsid w:val="00F126A4"/>
    <w:rsid w:val="00F2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41C2B"/>
  <w15:docId w15:val="{A41AFF15-B8AC-3F46-B4A8-08BBBCA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"/>
      <w:ind w:left="1870" w:right="187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2EDA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B22EDA"/>
    <w:rPr>
      <w:rFonts w:ascii="標楷體" w:eastAsia="標楷體" w:hAnsi="標楷體" w:cs="標楷體"/>
    </w:rPr>
  </w:style>
  <w:style w:type="paragraph" w:styleId="a8">
    <w:name w:val="footer"/>
    <w:basedOn w:val="a"/>
    <w:link w:val="a9"/>
    <w:uiPriority w:val="99"/>
    <w:unhideWhenUsed/>
    <w:rsid w:val="00B22EDA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B22EDA"/>
    <w:rPr>
      <w:rFonts w:ascii="標楷體" w:eastAsia="標楷體" w:hAnsi="標楷體" w:cs="標楷體"/>
    </w:rPr>
  </w:style>
  <w:style w:type="character" w:styleId="aa">
    <w:name w:val="annotation reference"/>
    <w:basedOn w:val="a0"/>
    <w:uiPriority w:val="99"/>
    <w:semiHidden/>
    <w:unhideWhenUsed/>
    <w:rsid w:val="00A54C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C5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A54C5B"/>
    <w:rPr>
      <w:rFonts w:ascii="標楷體" w:eastAsia="標楷體" w:hAnsi="標楷體" w:cs="標楷體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C5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54C5B"/>
    <w:rPr>
      <w:rFonts w:ascii="標楷體" w:eastAsia="標楷體" w:hAnsi="標楷體" w:cs="標楷體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54C5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4C5B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C0A3F"/>
    <w:pPr>
      <w:widowControl/>
      <w:autoSpaceDE/>
      <w:autoSpaceDN/>
    </w:pPr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2024-01-08T03:43:00Z</dcterms:created>
  <dcterms:modified xsi:type="dcterms:W3CDTF">2024-01-08T03:43:00Z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2023-02-23T00:00:00Z</vt:filetime>
  </property>
</Properties>
</file>