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13" w:lineRule="exact" w:before="64"/>
        <w:ind w:left="8158" w:right="0" w:firstLine="0"/>
        <w:jc w:val="left"/>
        <w:rPr>
          <w:rFonts w:ascii="新細明體" w:eastAsia="新細明體" w:hint="eastAsia"/>
          <w:sz w:val="16"/>
        </w:rPr>
      </w:pPr>
      <w:r>
        <w:rPr>
          <w:rFonts w:ascii="Times New Roman" w:eastAsia="Times New Roman"/>
          <w:sz w:val="16"/>
        </w:rPr>
        <w:t>108 </w:t>
      </w:r>
      <w:r>
        <w:rPr>
          <w:rFonts w:ascii="新細明體" w:eastAsia="新細明體" w:hint="eastAsia"/>
          <w:sz w:val="16"/>
        </w:rPr>
        <w:t>年 </w:t>
      </w:r>
      <w:r>
        <w:rPr>
          <w:rFonts w:ascii="Times New Roman" w:eastAsia="Times New Roman"/>
          <w:sz w:val="16"/>
        </w:rPr>
        <w:t>6 </w:t>
      </w:r>
      <w:r>
        <w:rPr>
          <w:rFonts w:ascii="新細明體" w:eastAsia="新細明體" w:hint="eastAsia"/>
          <w:sz w:val="16"/>
        </w:rPr>
        <w:t>月修訂</w:t>
      </w:r>
    </w:p>
    <w:p>
      <w:pPr>
        <w:spacing w:line="493" w:lineRule="exact" w:before="0"/>
        <w:ind w:left="752" w:right="0" w:firstLine="0"/>
        <w:jc w:val="left"/>
        <w:rPr>
          <w:rFonts w:ascii="Times New Roman" w:eastAsia="Times New Roman"/>
          <w:sz w:val="36"/>
        </w:rPr>
      </w:pPr>
      <w:r>
        <w:rPr>
          <w:sz w:val="36"/>
        </w:rPr>
        <w:t>國立中興大學產學研鏈結中心培育服務合約書</w:t>
      </w:r>
      <w:r>
        <w:rPr>
          <w:rFonts w:ascii="Times New Roman" w:eastAsia="Times New Roman"/>
          <w:color w:val="FF0000"/>
          <w:sz w:val="36"/>
        </w:rPr>
        <w:t>(</w:t>
      </w:r>
      <w:r>
        <w:rPr>
          <w:color w:val="FF0000"/>
          <w:sz w:val="36"/>
        </w:rPr>
        <w:t>虛擬進駐</w:t>
      </w:r>
      <w:r>
        <w:rPr>
          <w:rFonts w:ascii="Times New Roman" w:eastAsia="Times New Roman"/>
          <w:color w:val="FF0000"/>
          <w:sz w:val="36"/>
        </w:rPr>
        <w:t>)</w:t>
      </w:r>
    </w:p>
    <w:p>
      <w:pPr>
        <w:pStyle w:val="BodyText"/>
        <w:tabs>
          <w:tab w:pos="4996" w:val="left" w:leader="none"/>
        </w:tabs>
        <w:spacing w:before="297"/>
        <w:ind w:left="658" w:firstLine="0"/>
      </w:pPr>
      <w:r>
        <w:rPr/>
        <w:t>甲方：</w:t>
      </w:r>
      <w:r>
        <w:rPr>
          <w:spacing w:val="-3"/>
        </w:rPr>
        <w:t>國</w:t>
      </w:r>
      <w:r>
        <w:rPr/>
        <w:t>立中</w:t>
      </w:r>
      <w:r>
        <w:rPr>
          <w:spacing w:val="-3"/>
        </w:rPr>
        <w:t>興大</w:t>
      </w:r>
      <w:r>
        <w:rPr/>
        <w:t>學</w:t>
        <w:tab/>
        <w:t>乙方：</w:t>
      </w:r>
    </w:p>
    <w:p>
      <w:pPr>
        <w:pStyle w:val="BodyText"/>
        <w:spacing w:line="220" w:lineRule="auto" w:before="51"/>
        <w:ind w:left="658" w:right="175" w:firstLine="0"/>
      </w:pPr>
      <w:r>
        <w:rPr/>
        <w:t>乙方申請成為甲方培育服務會員，甲方依據國立中興大學育成推廣業務管理要點，與乙方簽訂下列條款以資遵據：</w:t>
      </w:r>
    </w:p>
    <w:p>
      <w:pPr>
        <w:pStyle w:val="BodyText"/>
        <w:tabs>
          <w:tab w:pos="3599" w:val="left" w:leader="none"/>
          <w:tab w:pos="4297" w:val="left" w:leader="none"/>
          <w:tab w:pos="4998" w:val="left" w:leader="none"/>
          <w:tab w:pos="5980" w:val="left" w:leader="none"/>
          <w:tab w:pos="6678" w:val="left" w:leader="none"/>
          <w:tab w:pos="7380" w:val="left" w:leader="none"/>
        </w:tabs>
        <w:spacing w:line="220" w:lineRule="auto" w:before="60"/>
        <w:ind w:left="658" w:right="560" w:firstLine="0"/>
      </w:pPr>
      <w:r>
        <w:rPr/>
        <w:t>一、培</w:t>
      </w:r>
      <w:r>
        <w:rPr>
          <w:spacing w:val="-3"/>
        </w:rPr>
        <w:t>育</w:t>
      </w:r>
      <w:r>
        <w:rPr/>
        <w:t>服務</w:t>
      </w:r>
      <w:r>
        <w:rPr>
          <w:spacing w:val="-3"/>
        </w:rPr>
        <w:t>期間</w:t>
      </w:r>
      <w:r>
        <w:rPr/>
        <w:t>：</w:t>
      </w:r>
      <w:r>
        <w:rPr>
          <w:u w:val="single"/>
        </w:rPr>
        <w:t> </w:t>
        <w:tab/>
      </w:r>
      <w:r>
        <w:rPr/>
        <w:t>年</w:t>
      </w:r>
      <w:r>
        <w:rPr>
          <w:u w:val="single"/>
        </w:rPr>
        <w:t> </w:t>
        <w:tab/>
      </w:r>
      <w:r>
        <w:rPr/>
        <w:t>月</w:t>
      </w:r>
      <w:r>
        <w:rPr>
          <w:u w:val="single"/>
        </w:rPr>
        <w:t> </w:t>
        <w:tab/>
      </w:r>
      <w:r>
        <w:rPr/>
        <w:t>日至</w:t>
      </w:r>
      <w:r>
        <w:rPr>
          <w:u w:val="single"/>
        </w:rPr>
        <w:t> </w:t>
        <w:tab/>
      </w:r>
      <w:r>
        <w:rPr/>
        <w:t>年</w:t>
      </w:r>
      <w:r>
        <w:rPr>
          <w:u w:val="single"/>
        </w:rPr>
        <w:t> </w:t>
        <w:tab/>
      </w:r>
      <w:r>
        <w:rPr/>
        <w:t>月</w:t>
      </w:r>
      <w:r>
        <w:rPr>
          <w:u w:val="single"/>
        </w:rPr>
        <w:t> </w:t>
        <w:tab/>
      </w:r>
      <w:r>
        <w:rPr/>
        <w:t>日，為期</w:t>
      </w:r>
      <w:r>
        <w:rPr>
          <w:spacing w:val="-3"/>
        </w:rPr>
        <w:t>一</w:t>
      </w:r>
      <w:r>
        <w:rPr/>
        <w:t>年。二、培</w:t>
      </w:r>
      <w:r>
        <w:rPr>
          <w:spacing w:val="-3"/>
        </w:rPr>
        <w:t>育</w:t>
      </w:r>
      <w:r>
        <w:rPr/>
        <w:t>服務</w:t>
      </w:r>
      <w:r>
        <w:rPr>
          <w:spacing w:val="-3"/>
        </w:rPr>
        <w:t>期間</w:t>
      </w:r>
      <w:r>
        <w:rPr/>
        <w:t>，甲方</w:t>
      </w:r>
      <w:r>
        <w:rPr>
          <w:spacing w:val="-3"/>
        </w:rPr>
        <w:t>將</w:t>
      </w:r>
      <w:r>
        <w:rPr/>
        <w:t>提供</w:t>
      </w:r>
      <w:r>
        <w:rPr>
          <w:spacing w:val="-3"/>
        </w:rPr>
        <w:t>下列</w:t>
      </w:r>
      <w:r>
        <w:rPr/>
        <w:t>服務</w:t>
      </w:r>
    </w:p>
    <w:p>
      <w:pPr>
        <w:pStyle w:val="ListParagraph"/>
        <w:numPr>
          <w:ilvl w:val="0"/>
          <w:numId w:val="1"/>
        </w:numPr>
        <w:tabs>
          <w:tab w:pos="1559" w:val="left" w:leader="none"/>
        </w:tabs>
        <w:spacing w:line="353" w:lineRule="exact" w:before="0" w:after="0"/>
        <w:ind w:left="1558" w:right="0" w:hanging="360"/>
        <w:jc w:val="left"/>
        <w:rPr>
          <w:sz w:val="28"/>
        </w:rPr>
      </w:pPr>
      <w:r>
        <w:rPr>
          <w:spacing w:val="-3"/>
          <w:sz w:val="28"/>
        </w:rPr>
        <w:t>甲方不定期提供一般商務</w:t>
      </w:r>
      <w:r>
        <w:rPr>
          <w:rFonts w:ascii="Times New Roman" w:eastAsia="Times New Roman"/>
          <w:sz w:val="28"/>
        </w:rPr>
        <w:t>/</w:t>
      </w:r>
      <w:r>
        <w:rPr>
          <w:spacing w:val="-2"/>
          <w:sz w:val="28"/>
        </w:rPr>
        <w:t>法律諮詢。</w:t>
      </w:r>
    </w:p>
    <w:p>
      <w:pPr>
        <w:pStyle w:val="ListParagraph"/>
        <w:numPr>
          <w:ilvl w:val="0"/>
          <w:numId w:val="1"/>
        </w:numPr>
        <w:tabs>
          <w:tab w:pos="1559" w:val="left" w:leader="none"/>
        </w:tabs>
        <w:spacing w:line="360" w:lineRule="exact" w:before="0" w:after="0"/>
        <w:ind w:left="1558" w:right="0" w:hanging="360"/>
        <w:jc w:val="left"/>
        <w:rPr>
          <w:sz w:val="28"/>
        </w:rPr>
      </w:pPr>
      <w:r>
        <w:rPr>
          <w:spacing w:val="-2"/>
          <w:sz w:val="28"/>
        </w:rPr>
        <w:t>免費使用甲方提供之圖書資源。</w:t>
      </w:r>
    </w:p>
    <w:p>
      <w:pPr>
        <w:pStyle w:val="ListParagraph"/>
        <w:numPr>
          <w:ilvl w:val="0"/>
          <w:numId w:val="1"/>
        </w:numPr>
        <w:tabs>
          <w:tab w:pos="1559" w:val="left" w:leader="none"/>
        </w:tabs>
        <w:spacing w:line="220" w:lineRule="auto" w:before="6" w:after="0"/>
        <w:ind w:left="1558" w:right="174" w:hanging="360"/>
        <w:jc w:val="both"/>
        <w:rPr>
          <w:sz w:val="28"/>
        </w:rPr>
      </w:pPr>
      <w:r>
        <w:rPr>
          <w:sz w:val="28"/>
        </w:rPr>
        <w:t>每月免費提供甲方與老師諮詢用之會議室或訓練室，但需事先取得本單位同意。如需使用會議室進行其他會議或活動，則需事先提出</w:t>
      </w:r>
      <w:r>
        <w:rPr>
          <w:spacing w:val="-1"/>
          <w:sz w:val="28"/>
        </w:rPr>
        <w:t>申請並收費。</w:t>
      </w:r>
    </w:p>
    <w:p>
      <w:pPr>
        <w:pStyle w:val="ListParagraph"/>
        <w:numPr>
          <w:ilvl w:val="0"/>
          <w:numId w:val="1"/>
        </w:numPr>
        <w:tabs>
          <w:tab w:pos="1559" w:val="left" w:leader="none"/>
        </w:tabs>
        <w:spacing w:line="353" w:lineRule="exact" w:before="0" w:after="0"/>
        <w:ind w:left="1558" w:right="0" w:hanging="360"/>
        <w:jc w:val="left"/>
        <w:rPr>
          <w:sz w:val="28"/>
        </w:rPr>
      </w:pPr>
      <w:r>
        <w:rPr>
          <w:spacing w:val="-3"/>
          <w:sz w:val="28"/>
        </w:rPr>
        <w:t>甲方不定期地提供相關產業政策之訊息。</w:t>
      </w:r>
    </w:p>
    <w:p>
      <w:pPr>
        <w:pStyle w:val="ListParagraph"/>
        <w:numPr>
          <w:ilvl w:val="0"/>
          <w:numId w:val="1"/>
        </w:numPr>
        <w:tabs>
          <w:tab w:pos="1559" w:val="left" w:leader="none"/>
        </w:tabs>
        <w:spacing w:line="360" w:lineRule="exact" w:before="0" w:after="0"/>
        <w:ind w:left="1558" w:right="0" w:hanging="360"/>
        <w:jc w:val="left"/>
        <w:rPr>
          <w:sz w:val="28"/>
        </w:rPr>
      </w:pPr>
      <w:r>
        <w:rPr>
          <w:spacing w:val="-2"/>
          <w:sz w:val="28"/>
        </w:rPr>
        <w:t>參加甲方舉辦之免費演講。</w:t>
      </w:r>
    </w:p>
    <w:p>
      <w:pPr>
        <w:pStyle w:val="ListParagraph"/>
        <w:numPr>
          <w:ilvl w:val="0"/>
          <w:numId w:val="1"/>
        </w:numPr>
        <w:tabs>
          <w:tab w:pos="1559" w:val="left" w:leader="none"/>
        </w:tabs>
        <w:spacing w:line="360" w:lineRule="exact" w:before="0" w:after="0"/>
        <w:ind w:left="1558" w:right="0" w:hanging="360"/>
        <w:jc w:val="left"/>
        <w:rPr>
          <w:sz w:val="28"/>
        </w:rPr>
      </w:pPr>
      <w:r>
        <w:rPr>
          <w:spacing w:val="-3"/>
          <w:sz w:val="28"/>
        </w:rPr>
        <w:t>參加甲方之收費演講或訓練課程八折優待。</w:t>
      </w:r>
    </w:p>
    <w:p>
      <w:pPr>
        <w:pStyle w:val="ListParagraph"/>
        <w:numPr>
          <w:ilvl w:val="0"/>
          <w:numId w:val="1"/>
        </w:numPr>
        <w:tabs>
          <w:tab w:pos="1559" w:val="left" w:leader="none"/>
        </w:tabs>
        <w:spacing w:line="376" w:lineRule="exact" w:before="0" w:after="0"/>
        <w:ind w:left="1558" w:right="0" w:hanging="360"/>
        <w:jc w:val="left"/>
        <w:rPr>
          <w:sz w:val="28"/>
        </w:rPr>
      </w:pPr>
      <w:r>
        <w:rPr>
          <w:spacing w:val="-3"/>
          <w:sz w:val="28"/>
        </w:rPr>
        <w:t>提供申請政府計畫之參考意見。</w:t>
      </w:r>
    </w:p>
    <w:p>
      <w:pPr>
        <w:pStyle w:val="BodyText"/>
        <w:spacing w:line="220" w:lineRule="auto" w:before="111"/>
        <w:ind w:left="1239" w:right="164" w:hanging="581"/>
        <w:jc w:val="both"/>
      </w:pPr>
      <w:r>
        <w:rPr>
          <w:spacing w:val="-13"/>
        </w:rPr>
        <w:t>三、乙方申請進駐本中心方式為「虛擬進駐」。所謂「虛擬進駐」意指: 本中心不提供實體辦公室租賃服務，但開放本校專業教室、會議室、演</w:t>
      </w:r>
      <w:r>
        <w:rPr>
          <w:spacing w:val="10"/>
        </w:rPr>
        <w:t>講廳等各項設施供企業租借使用，此外亦提供企業各項輔導諮詢服</w:t>
      </w:r>
      <w:r>
        <w:rPr>
          <w:spacing w:val="-8"/>
        </w:rPr>
        <w:t>務。乙方應於培育服務期間每年按時繳納年度服務費共計:</w:t>
      </w:r>
      <w:r>
        <w:rPr>
          <w:u w:val="single"/>
        </w:rPr>
        <w:t>54,000</w:t>
      </w:r>
      <w:r>
        <w:rPr/>
        <w:t>元整</w:t>
      </w:r>
      <w:r>
        <w:rPr>
          <w:spacing w:val="-13"/>
        </w:rPr>
        <w:t>予甲方以執行前條服務項目，其中之</w:t>
      </w:r>
      <w:r>
        <w:rPr>
          <w:rFonts w:ascii="Times New Roman" w:eastAsia="Times New Roman"/>
        </w:rPr>
        <w:t>48,000</w:t>
      </w:r>
      <w:r>
        <w:rPr>
          <w:spacing w:val="-3"/>
        </w:rPr>
        <w:t>元可申請作為本校教師之培</w:t>
      </w:r>
      <w:r>
        <w:rPr>
          <w:spacing w:val="-2"/>
        </w:rPr>
        <w:t>育費用。另每月</w:t>
      </w:r>
      <w:r>
        <w:rPr>
          <w:rFonts w:ascii="Times New Roman" w:eastAsia="Times New Roman"/>
        </w:rPr>
        <w:t>5</w:t>
      </w:r>
      <w:r>
        <w:rPr/>
        <w:t>日前酌收管理服務費</w:t>
      </w:r>
      <w:r>
        <w:rPr>
          <w:u w:val="single"/>
        </w:rPr>
        <w:t>5,000</w:t>
      </w:r>
      <w:r>
        <w:rPr/>
        <w:t>元整，並於合約到期前一</w:t>
      </w:r>
      <w:r>
        <w:rPr>
          <w:spacing w:val="-3"/>
        </w:rPr>
        <w:t>個月內與甲方簽訂續約。</w:t>
      </w:r>
    </w:p>
    <w:p>
      <w:pPr>
        <w:pStyle w:val="BodyText"/>
        <w:spacing w:line="220" w:lineRule="auto"/>
        <w:ind w:left="1239" w:right="172" w:hanging="581"/>
        <w:jc w:val="both"/>
      </w:pPr>
      <w:r>
        <w:rPr/>
        <w:t>四、甲方為確保乙方虛擬進駐期間之給付，乙方應於簽訂本約之同時提供三個月管理服務費</w:t>
      </w:r>
      <w:r>
        <w:rPr>
          <w:u w:val="single"/>
        </w:rPr>
        <w:t>15,000</w:t>
      </w:r>
      <w:r>
        <w:rPr/>
        <w:t>元作為保證金，甲方於乙方完成虛擬離駐手續並扣除乙方積欠或賠償之費用後，無息歸還乙方。</w:t>
      </w:r>
    </w:p>
    <w:p>
      <w:pPr>
        <w:pStyle w:val="BodyText"/>
        <w:spacing w:line="220" w:lineRule="auto"/>
        <w:ind w:left="1215" w:right="172" w:hanging="557"/>
      </w:pPr>
      <w:r>
        <w:rPr>
          <w:spacing w:val="-3"/>
        </w:rPr>
        <w:t>五、乙方於虛擬進駐期間拖欠或未完整支付年度服務費，經甲方催告限期</w:t>
      </w:r>
      <w:r>
        <w:rPr>
          <w:spacing w:val="-11"/>
        </w:rPr>
        <w:t>繳納仍不支付，或未經甲方同意擅自轉租</w:t>
      </w:r>
      <w:r>
        <w:rPr>
          <w:rFonts w:ascii="Times New Roman" w:eastAsia="Times New Roman"/>
          <w:spacing w:val="-3"/>
        </w:rPr>
        <w:t>(</w:t>
      </w:r>
      <w:r>
        <w:rPr/>
        <w:t>借</w:t>
      </w:r>
      <w:r>
        <w:rPr>
          <w:rFonts w:ascii="Times New Roman" w:eastAsia="Times New Roman"/>
          <w:spacing w:val="-3"/>
        </w:rPr>
        <w:t>)</w:t>
      </w:r>
      <w:r>
        <w:rPr>
          <w:spacing w:val="-2"/>
        </w:rPr>
        <w:t>會議室予其他非本校育成</w:t>
      </w:r>
      <w:r>
        <w:rPr>
          <w:spacing w:val="-3"/>
        </w:rPr>
        <w:t>廠商之單位使用，經甲方查證屬實時，甲方得終止合約，並由乙方於虛擬合約書中所繳納之保證金扣抵甲方損失，乙方不得異議。</w:t>
      </w:r>
    </w:p>
    <w:p>
      <w:pPr>
        <w:pStyle w:val="BodyText"/>
        <w:spacing w:line="220" w:lineRule="auto"/>
        <w:ind w:left="1218" w:right="105" w:hanging="560"/>
      </w:pPr>
      <w:r>
        <w:rPr>
          <w:spacing w:val="-12"/>
        </w:rPr>
        <w:t>六、甲乙任何一方若有違約情事或雙方發生爭議應先以協商方式尋求解決。</w:t>
      </w:r>
      <w:r>
        <w:rPr>
          <w:spacing w:val="-8"/>
        </w:rPr>
        <w:t>雙方若需提請法院訴訟，則以台灣台中地方法院為第一審管轄法院。</w:t>
      </w:r>
    </w:p>
    <w:p>
      <w:pPr>
        <w:pStyle w:val="BodyText"/>
        <w:spacing w:line="220" w:lineRule="auto"/>
        <w:ind w:left="658" w:right="2804" w:firstLine="0"/>
      </w:pPr>
      <w:r>
        <w:rPr/>
        <w:t>七、本合約若有未盡事宜，得經雙方同意後修訂之。八、本合約壹式二份，由雙方各執一份。</w:t>
      </w:r>
    </w:p>
    <w:p>
      <w:pPr>
        <w:pStyle w:val="BodyText"/>
        <w:spacing w:before="155" w:after="23"/>
        <w:ind w:left="276" w:firstLine="0"/>
      </w:pPr>
      <w:r>
        <w:rPr/>
        <w:t>立合約書人</w:t>
      </w:r>
    </w:p>
    <w:tbl>
      <w:tblPr>
        <w:tblW w:w="0" w:type="auto"/>
        <w:jc w:val="left"/>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516"/>
        <w:gridCol w:w="2256"/>
      </w:tblGrid>
      <w:tr>
        <w:trPr>
          <w:trHeight w:val="682" w:hRule="atLeast"/>
        </w:trPr>
        <w:tc>
          <w:tcPr>
            <w:tcW w:w="3516" w:type="dxa"/>
          </w:tcPr>
          <w:p>
            <w:pPr>
              <w:pStyle w:val="TableParagraph"/>
              <w:ind w:left="200"/>
              <w:rPr>
                <w:sz w:val="28"/>
              </w:rPr>
            </w:pPr>
            <w:r>
              <w:rPr>
                <w:sz w:val="28"/>
              </w:rPr>
              <w:t>甲方：國立中興大學</w:t>
            </w:r>
          </w:p>
          <w:p>
            <w:pPr>
              <w:pStyle w:val="TableParagraph"/>
              <w:spacing w:line="342" w:lineRule="exact"/>
              <w:ind w:left="200"/>
              <w:rPr>
                <w:rFonts w:ascii="Times New Roman" w:eastAsia="Times New Roman"/>
                <w:sz w:val="28"/>
              </w:rPr>
            </w:pPr>
            <w:r>
              <w:rPr>
                <w:sz w:val="28"/>
              </w:rPr>
              <w:t>統編：</w:t>
            </w:r>
            <w:r>
              <w:rPr>
                <w:rFonts w:ascii="Times New Roman" w:eastAsia="Times New Roman"/>
                <w:sz w:val="28"/>
              </w:rPr>
              <w:t>52024101</w:t>
            </w:r>
          </w:p>
        </w:tc>
        <w:tc>
          <w:tcPr>
            <w:tcW w:w="2256" w:type="dxa"/>
          </w:tcPr>
          <w:p>
            <w:pPr>
              <w:pStyle w:val="TableParagraph"/>
              <w:rPr>
                <w:sz w:val="28"/>
              </w:rPr>
            </w:pPr>
            <w:r>
              <w:rPr>
                <w:sz w:val="28"/>
              </w:rPr>
              <w:t>乙方：</w:t>
            </w:r>
          </w:p>
          <w:p>
            <w:pPr>
              <w:pStyle w:val="TableParagraph"/>
              <w:spacing w:line="342" w:lineRule="exact"/>
              <w:rPr>
                <w:sz w:val="28"/>
              </w:rPr>
            </w:pPr>
            <w:r>
              <w:rPr>
                <w:sz w:val="28"/>
              </w:rPr>
              <w:t>統一編號：</w:t>
            </w:r>
          </w:p>
        </w:tc>
      </w:tr>
      <w:tr>
        <w:trPr>
          <w:trHeight w:val="357" w:hRule="atLeast"/>
        </w:trPr>
        <w:tc>
          <w:tcPr>
            <w:tcW w:w="3516" w:type="dxa"/>
          </w:tcPr>
          <w:p>
            <w:pPr>
              <w:pStyle w:val="TableParagraph"/>
              <w:spacing w:line="338" w:lineRule="exact"/>
              <w:ind w:left="200"/>
              <w:rPr>
                <w:sz w:val="28"/>
              </w:rPr>
            </w:pPr>
            <w:r>
              <w:rPr>
                <w:sz w:val="28"/>
              </w:rPr>
              <w:t>代表人：校長 薛富盛</w:t>
            </w:r>
          </w:p>
        </w:tc>
        <w:tc>
          <w:tcPr>
            <w:tcW w:w="2256" w:type="dxa"/>
          </w:tcPr>
          <w:p>
            <w:pPr>
              <w:pStyle w:val="TableParagraph"/>
              <w:spacing w:line="338" w:lineRule="exact"/>
              <w:rPr>
                <w:sz w:val="28"/>
              </w:rPr>
            </w:pPr>
            <w:r>
              <w:rPr>
                <w:sz w:val="28"/>
              </w:rPr>
              <w:t>負責人：</w:t>
            </w:r>
          </w:p>
        </w:tc>
      </w:tr>
      <w:tr>
        <w:trPr>
          <w:trHeight w:val="320" w:hRule="atLeast"/>
        </w:trPr>
        <w:tc>
          <w:tcPr>
            <w:tcW w:w="3516" w:type="dxa"/>
          </w:tcPr>
          <w:p>
            <w:pPr>
              <w:pStyle w:val="TableParagraph"/>
              <w:spacing w:line="240" w:lineRule="auto"/>
              <w:ind w:left="0"/>
              <w:rPr>
                <w:rFonts w:ascii="Times New Roman"/>
                <w:sz w:val="24"/>
              </w:rPr>
            </w:pPr>
          </w:p>
        </w:tc>
        <w:tc>
          <w:tcPr>
            <w:tcW w:w="2256" w:type="dxa"/>
          </w:tcPr>
          <w:p>
            <w:pPr>
              <w:pStyle w:val="TableParagraph"/>
              <w:spacing w:line="300" w:lineRule="exact"/>
              <w:rPr>
                <w:sz w:val="28"/>
              </w:rPr>
            </w:pPr>
            <w:r>
              <w:rPr>
                <w:sz w:val="28"/>
              </w:rPr>
              <w:t>地址：</w:t>
            </w:r>
          </w:p>
        </w:tc>
      </w:tr>
    </w:tbl>
    <w:p>
      <w:pPr>
        <w:pStyle w:val="BodyText"/>
        <w:spacing w:before="9"/>
        <w:ind w:left="0" w:firstLine="0"/>
        <w:rPr>
          <w:sz w:val="34"/>
        </w:rPr>
      </w:pPr>
    </w:p>
    <w:p>
      <w:pPr>
        <w:pStyle w:val="BodyText"/>
        <w:tabs>
          <w:tab w:pos="1344" w:val="left" w:leader="none"/>
          <w:tab w:pos="2409" w:val="left" w:leader="none"/>
          <w:tab w:pos="3475" w:val="left" w:leader="none"/>
          <w:tab w:pos="5469" w:val="left" w:leader="none"/>
          <w:tab w:pos="7461" w:val="left" w:leader="none"/>
          <w:tab w:pos="9453" w:val="left" w:leader="none"/>
        </w:tabs>
        <w:spacing w:before="1"/>
        <w:ind w:left="276" w:firstLine="0"/>
      </w:pPr>
      <w:r>
        <w:rPr/>
        <w:t>中</w:t>
        <w:tab/>
        <w:t>華</w:t>
        <w:tab/>
        <w:t>民</w:t>
        <w:tab/>
        <w:t>國</w:t>
        <w:tab/>
        <w:t>年</w:t>
        <w:tab/>
        <w:t>月</w:t>
        <w:tab/>
        <w:t>日</w:t>
      </w:r>
    </w:p>
    <w:sectPr>
      <w:type w:val="continuous"/>
      <w:pgSz w:w="11910" w:h="16840"/>
      <w:pgMar w:top="760" w:bottom="280" w:left="76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標楷體">
    <w:altName w:val="標楷體"/>
    <w:charset w:val="88"/>
    <w:family w:val="script"/>
    <w:pitch w:val="fixed"/>
  </w:font>
  <w:font w:name="新細明體">
    <w:altName w:val="新細明體"/>
    <w:charset w:val="88"/>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558" w:hanging="360"/>
        <w:jc w:val="left"/>
      </w:pPr>
      <w:rPr>
        <w:rFonts w:hint="default" w:ascii="Times New Roman" w:hAnsi="Times New Roman" w:eastAsia="Times New Roman" w:cs="Times New Roman"/>
        <w:spacing w:val="0"/>
        <w:w w:val="100"/>
        <w:sz w:val="28"/>
        <w:szCs w:val="28"/>
        <w:lang w:val="zh-tw" w:eastAsia="zh-tw" w:bidi="zh-tw"/>
      </w:rPr>
    </w:lvl>
    <w:lvl w:ilvl="1">
      <w:start w:val="0"/>
      <w:numFmt w:val="bullet"/>
      <w:lvlText w:val="•"/>
      <w:lvlJc w:val="left"/>
      <w:pPr>
        <w:ind w:left="2394" w:hanging="360"/>
      </w:pPr>
      <w:rPr>
        <w:rFonts w:hint="default"/>
        <w:lang w:val="zh-tw" w:eastAsia="zh-tw" w:bidi="zh-tw"/>
      </w:rPr>
    </w:lvl>
    <w:lvl w:ilvl="2">
      <w:start w:val="0"/>
      <w:numFmt w:val="bullet"/>
      <w:lvlText w:val="•"/>
      <w:lvlJc w:val="left"/>
      <w:pPr>
        <w:ind w:left="3229" w:hanging="360"/>
      </w:pPr>
      <w:rPr>
        <w:rFonts w:hint="default"/>
        <w:lang w:val="zh-tw" w:eastAsia="zh-tw" w:bidi="zh-tw"/>
      </w:rPr>
    </w:lvl>
    <w:lvl w:ilvl="3">
      <w:start w:val="0"/>
      <w:numFmt w:val="bullet"/>
      <w:lvlText w:val="•"/>
      <w:lvlJc w:val="left"/>
      <w:pPr>
        <w:ind w:left="4063" w:hanging="360"/>
      </w:pPr>
      <w:rPr>
        <w:rFonts w:hint="default"/>
        <w:lang w:val="zh-tw" w:eastAsia="zh-tw" w:bidi="zh-tw"/>
      </w:rPr>
    </w:lvl>
    <w:lvl w:ilvl="4">
      <w:start w:val="0"/>
      <w:numFmt w:val="bullet"/>
      <w:lvlText w:val="•"/>
      <w:lvlJc w:val="left"/>
      <w:pPr>
        <w:ind w:left="4898" w:hanging="360"/>
      </w:pPr>
      <w:rPr>
        <w:rFonts w:hint="default"/>
        <w:lang w:val="zh-tw" w:eastAsia="zh-tw" w:bidi="zh-tw"/>
      </w:rPr>
    </w:lvl>
    <w:lvl w:ilvl="5">
      <w:start w:val="0"/>
      <w:numFmt w:val="bullet"/>
      <w:lvlText w:val="•"/>
      <w:lvlJc w:val="left"/>
      <w:pPr>
        <w:ind w:left="5733" w:hanging="360"/>
      </w:pPr>
      <w:rPr>
        <w:rFonts w:hint="default"/>
        <w:lang w:val="zh-tw" w:eastAsia="zh-tw" w:bidi="zh-tw"/>
      </w:rPr>
    </w:lvl>
    <w:lvl w:ilvl="6">
      <w:start w:val="0"/>
      <w:numFmt w:val="bullet"/>
      <w:lvlText w:val="•"/>
      <w:lvlJc w:val="left"/>
      <w:pPr>
        <w:ind w:left="6567" w:hanging="360"/>
      </w:pPr>
      <w:rPr>
        <w:rFonts w:hint="default"/>
        <w:lang w:val="zh-tw" w:eastAsia="zh-tw" w:bidi="zh-tw"/>
      </w:rPr>
    </w:lvl>
    <w:lvl w:ilvl="7">
      <w:start w:val="0"/>
      <w:numFmt w:val="bullet"/>
      <w:lvlText w:val="•"/>
      <w:lvlJc w:val="left"/>
      <w:pPr>
        <w:ind w:left="7402" w:hanging="360"/>
      </w:pPr>
      <w:rPr>
        <w:rFonts w:hint="default"/>
        <w:lang w:val="zh-tw" w:eastAsia="zh-tw" w:bidi="zh-tw"/>
      </w:rPr>
    </w:lvl>
    <w:lvl w:ilvl="8">
      <w:start w:val="0"/>
      <w:numFmt w:val="bullet"/>
      <w:lvlText w:val="•"/>
      <w:lvlJc w:val="left"/>
      <w:pPr>
        <w:ind w:left="8237" w:hanging="360"/>
      </w:pPr>
      <w:rPr>
        <w:rFonts w:hint="default"/>
        <w:lang w:val="zh-tw" w:eastAsia="zh-tw" w:bidi="zh-tw"/>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標楷體" w:hAnsi="標楷體" w:eastAsia="標楷體" w:cs="標楷體"/>
      <w:lang w:val="zh-tw" w:eastAsia="zh-tw" w:bidi="zh-tw"/>
    </w:rPr>
  </w:style>
  <w:style w:styleId="BodyText" w:type="paragraph">
    <w:name w:val="Body Text"/>
    <w:basedOn w:val="Normal"/>
    <w:uiPriority w:val="1"/>
    <w:qFormat/>
    <w:pPr>
      <w:ind w:left="1558" w:hanging="360"/>
    </w:pPr>
    <w:rPr>
      <w:rFonts w:ascii="標楷體" w:hAnsi="標楷體" w:eastAsia="標楷體" w:cs="標楷體"/>
      <w:sz w:val="28"/>
      <w:szCs w:val="28"/>
      <w:lang w:val="zh-tw" w:eastAsia="zh-tw" w:bidi="zh-tw"/>
    </w:rPr>
  </w:style>
  <w:style w:styleId="ListParagraph" w:type="paragraph">
    <w:name w:val="List Paragraph"/>
    <w:basedOn w:val="Normal"/>
    <w:uiPriority w:val="1"/>
    <w:qFormat/>
    <w:pPr>
      <w:spacing w:line="360" w:lineRule="exact"/>
      <w:ind w:left="1558" w:hanging="360"/>
    </w:pPr>
    <w:rPr>
      <w:rFonts w:ascii="標楷體" w:hAnsi="標楷體" w:eastAsia="標楷體" w:cs="標楷體"/>
      <w:lang w:val="zh-tw" w:eastAsia="zh-tw" w:bidi="zh-tw"/>
    </w:rPr>
  </w:style>
  <w:style w:styleId="TableParagraph" w:type="paragraph">
    <w:name w:val="Table Paragraph"/>
    <w:basedOn w:val="Normal"/>
    <w:uiPriority w:val="1"/>
    <w:qFormat/>
    <w:pPr>
      <w:spacing w:line="321" w:lineRule="exact"/>
      <w:ind w:left="654"/>
    </w:pPr>
    <w:rPr>
      <w:rFonts w:ascii="標楷體" w:hAnsi="標楷體" w:eastAsia="標楷體" w:cs="標楷體"/>
      <w:lang w:val="zh-tw" w:eastAsia="zh-tw" w:bidi="zh-t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dc:title>國立中興大學創新育成中心服務合約書</dc:title>
  <dcterms:created xsi:type="dcterms:W3CDTF">2019-09-11T10:00:15Z</dcterms:created>
  <dcterms:modified xsi:type="dcterms:W3CDTF">2019-09-11T10:00:15Z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2019-08-01T00:00:00Z</vt:filetime>
  </property>
  <property fmtid="{D5CDD505-2E9C-101B-9397-08002B2CF9AE}" pid="3" name="Creator">
    <vt:lpwstr>Microsoft® Word 2016</vt:lpwstr>
  </property>
  <property fmtid="{D5CDD505-2E9C-101B-9397-08002B2CF9AE}" pid="4" name="LastSaved">
    <vt:filetime>2019-09-11T00:00:00Z</vt:filetime>
  </property>
</Properties>
</file>